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11266">
      <w:pPr>
        <w:pageBreakBefore w:val="0"/>
        <w:widowControl w:val="0"/>
        <w:kinsoku/>
        <w:wordWrap/>
        <w:overflowPunct/>
        <w:topLinePunct w:val="0"/>
        <w:autoSpaceDE/>
        <w:autoSpaceDN/>
        <w:bidi w:val="0"/>
        <w:adjustRightInd/>
        <w:snapToGrid/>
        <w:spacing w:line="600" w:lineRule="exact"/>
        <w:ind w:right="0"/>
        <w:jc w:val="both"/>
        <w:textAlignment w:val="auto"/>
        <w:rPr>
          <w:rFonts w:hint="default"/>
          <w:b/>
          <w:bCs/>
          <w:color w:val="auto"/>
          <w:sz w:val="40"/>
          <w:szCs w:val="40"/>
          <w:highlight w:val="none"/>
          <w:lang w:val="en-US" w:eastAsia="zh-CN"/>
        </w:rPr>
      </w:pPr>
      <w:bookmarkStart w:id="0" w:name="_Toc57185079"/>
      <w:r>
        <w:rPr>
          <w:rFonts w:hint="eastAsia"/>
          <w:b/>
          <w:bCs/>
          <w:color w:val="auto"/>
          <w:sz w:val="40"/>
          <w:szCs w:val="40"/>
          <w:highlight w:val="none"/>
          <w:lang w:val="en-US" w:eastAsia="zh-CN"/>
        </w:rPr>
        <w:t xml:space="preserve"> </w:t>
      </w:r>
    </w:p>
    <w:p w14:paraId="242B4493">
      <w:pPr>
        <w:pageBreakBefore w:val="0"/>
        <w:widowControl w:val="0"/>
        <w:kinsoku/>
        <w:wordWrap/>
        <w:overflowPunct/>
        <w:topLinePunct w:val="0"/>
        <w:autoSpaceDE/>
        <w:autoSpaceDN/>
        <w:bidi w:val="0"/>
        <w:adjustRightInd/>
        <w:snapToGrid/>
        <w:spacing w:line="600" w:lineRule="exact"/>
        <w:ind w:right="0"/>
        <w:jc w:val="center"/>
        <w:textAlignment w:val="auto"/>
        <w:rPr>
          <w:rFonts w:hint="eastAsia"/>
          <w:b/>
          <w:bCs/>
          <w:color w:val="auto"/>
          <w:sz w:val="40"/>
          <w:szCs w:val="40"/>
          <w:highlight w:val="none"/>
          <w:lang w:val="en-US" w:eastAsia="zh-CN"/>
        </w:rPr>
      </w:pPr>
      <w:r>
        <w:rPr>
          <w:rFonts w:hint="eastAsia"/>
          <w:b/>
          <w:bCs/>
          <w:color w:val="auto"/>
          <w:sz w:val="40"/>
          <w:szCs w:val="40"/>
          <w:highlight w:val="none"/>
          <w:lang w:val="en-US" w:eastAsia="zh-CN"/>
        </w:rPr>
        <w:t>2026年扎赉特旗巴达尔胡镇庭院经济</w:t>
      </w:r>
    </w:p>
    <w:p w14:paraId="37D67C1C">
      <w:pPr>
        <w:pageBreakBefore w:val="0"/>
        <w:widowControl w:val="0"/>
        <w:kinsoku/>
        <w:wordWrap/>
        <w:overflowPunct/>
        <w:topLinePunct w:val="0"/>
        <w:autoSpaceDE/>
        <w:autoSpaceDN/>
        <w:bidi w:val="0"/>
        <w:adjustRightInd/>
        <w:snapToGrid/>
        <w:spacing w:line="600" w:lineRule="exact"/>
        <w:ind w:right="0"/>
        <w:jc w:val="center"/>
        <w:textAlignment w:val="auto"/>
        <w:rPr>
          <w:rFonts w:hint="default"/>
          <w:color w:val="auto"/>
          <w:sz w:val="28"/>
          <w:szCs w:val="28"/>
          <w:highlight w:val="none"/>
          <w:lang w:val="en-US" w:eastAsia="zh-CN"/>
        </w:rPr>
      </w:pPr>
      <w:r>
        <w:rPr>
          <w:rFonts w:hint="eastAsia"/>
          <w:b/>
          <w:bCs/>
          <w:color w:val="auto"/>
          <w:sz w:val="40"/>
          <w:szCs w:val="40"/>
          <w:highlight w:val="none"/>
          <w:lang w:val="en-US" w:eastAsia="zh-CN"/>
        </w:rPr>
        <w:t>项目实施方案</w:t>
      </w:r>
    </w:p>
    <w:p w14:paraId="4DB00507">
      <w:pPr>
        <w:pStyle w:val="16"/>
        <w:pageBreakBefore w:val="0"/>
        <w:kinsoku/>
        <w:wordWrap/>
        <w:overflowPunct/>
        <w:topLinePunct w:val="0"/>
        <w:autoSpaceDN/>
        <w:bidi w:val="0"/>
        <w:spacing w:before="0" w:after="0" w:line="600" w:lineRule="exact"/>
        <w:ind w:right="0"/>
        <w:jc w:val="both"/>
        <w:textAlignment w:val="auto"/>
        <w:rPr>
          <w:rFonts w:hint="eastAsia" w:ascii="仿宋_GB2312" w:hAnsi="仿宋_GB2312" w:eastAsia="仿宋_GB2312" w:cs="仿宋_GB2312"/>
          <w:b w:val="0"/>
          <w:bCs w:val="0"/>
          <w:color w:val="auto"/>
          <w:highlight w:val="none"/>
          <w:u w:val="none"/>
        </w:rPr>
      </w:pPr>
      <w:bookmarkStart w:id="1" w:name="_Toc57185072"/>
      <w:r>
        <w:rPr>
          <w:rFonts w:hint="eastAsia" w:ascii="仿宋_GB2312" w:hAnsi="仿宋_GB2312" w:eastAsia="仿宋_GB2312" w:cs="仿宋_GB2312"/>
          <w:b w:val="0"/>
          <w:bCs w:val="0"/>
          <w:color w:val="auto"/>
          <w:kern w:val="2"/>
          <w:sz w:val="32"/>
          <w:szCs w:val="32"/>
          <w:highlight w:val="none"/>
          <w:u w:val="none"/>
          <w:lang w:val="en-US" w:eastAsia="zh-CN" w:bidi="ar-SA"/>
        </w:rPr>
        <w:t xml:space="preserve">  </w:t>
      </w:r>
    </w:p>
    <w:p w14:paraId="33000029">
      <w:pPr>
        <w:pStyle w:val="16"/>
        <w:pageBreakBefore w:val="0"/>
        <w:kinsoku/>
        <w:wordWrap/>
        <w:overflowPunct/>
        <w:topLinePunct w:val="0"/>
        <w:autoSpaceDN/>
        <w:bidi w:val="0"/>
        <w:adjustRightInd w:val="0"/>
        <w:snapToGrid w:val="0"/>
        <w:spacing w:before="0" w:after="0" w:line="600" w:lineRule="exact"/>
        <w:ind w:right="0"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b w:val="0"/>
          <w:bCs w:val="0"/>
          <w:color w:val="auto"/>
          <w:highlight w:val="none"/>
          <w:u w:val="none"/>
        </w:rPr>
        <w:t>为贯彻落实</w:t>
      </w:r>
      <w:r>
        <w:rPr>
          <w:rFonts w:hint="eastAsia" w:ascii="仿宋_GB2312" w:hAnsi="仿宋_GB2312" w:eastAsia="仿宋_GB2312" w:cs="仿宋_GB2312"/>
          <w:b w:val="0"/>
          <w:bCs w:val="0"/>
          <w:color w:val="auto"/>
          <w:highlight w:val="none"/>
          <w:u w:val="none"/>
          <w:lang w:val="en-US" w:eastAsia="zh-CN"/>
        </w:rPr>
        <w:t>扎赉特旗农牧和科技局、乡村振兴局</w:t>
      </w:r>
      <w:r>
        <w:rPr>
          <w:rFonts w:hint="eastAsia" w:ascii="仿宋_GB2312" w:hAnsi="仿宋_GB2312" w:eastAsia="仿宋_GB2312" w:cs="仿宋_GB2312"/>
          <w:b w:val="0"/>
          <w:bCs w:val="0"/>
          <w:color w:val="auto"/>
          <w:highlight w:val="none"/>
          <w:u w:val="none"/>
        </w:rPr>
        <w:t>印发的《</w:t>
      </w:r>
      <w:r>
        <w:rPr>
          <w:rFonts w:hint="eastAsia" w:ascii="仿宋_GB2312" w:hAnsi="仿宋_GB2312" w:eastAsia="仿宋_GB2312" w:cs="仿宋_GB2312"/>
          <w:b w:val="0"/>
          <w:bCs w:val="0"/>
          <w:color w:val="auto"/>
          <w:highlight w:val="none"/>
          <w:u w:val="none"/>
          <w:lang w:val="en-US" w:eastAsia="zh-CN"/>
        </w:rPr>
        <w:t>扎赉特旗2026年到户产业增收项目实施方案</w:t>
      </w:r>
      <w:r>
        <w:rPr>
          <w:rFonts w:hint="eastAsia" w:ascii="仿宋_GB2312" w:hAnsi="仿宋_GB2312" w:eastAsia="仿宋_GB2312" w:cs="仿宋_GB2312"/>
          <w:b w:val="0"/>
          <w:bCs w:val="0"/>
          <w:color w:val="auto"/>
          <w:highlight w:val="none"/>
          <w:u w:val="none"/>
        </w:rPr>
        <w:t>》文件精神，鼓励和引导农牧民特别是脱贫人口和监测对象在符合用地政策的前提下，利用自有院落空间和资源资产发展高质量庭院经济，持续稳定提高农牧民生产经营性收入，结合我</w:t>
      </w:r>
      <w:r>
        <w:rPr>
          <w:rFonts w:hint="eastAsia" w:ascii="仿宋_GB2312" w:hAnsi="仿宋_GB2312" w:eastAsia="仿宋_GB2312" w:cs="仿宋_GB2312"/>
          <w:b w:val="0"/>
          <w:bCs w:val="0"/>
          <w:color w:val="auto"/>
          <w:highlight w:val="none"/>
          <w:u w:val="none"/>
          <w:lang w:val="en-US" w:eastAsia="zh-CN"/>
        </w:rPr>
        <w:t>镇</w:t>
      </w:r>
      <w:r>
        <w:rPr>
          <w:rFonts w:hint="eastAsia" w:ascii="仿宋_GB2312" w:hAnsi="仿宋_GB2312" w:eastAsia="仿宋_GB2312" w:cs="仿宋_GB2312"/>
          <w:b w:val="0"/>
          <w:bCs w:val="0"/>
          <w:color w:val="auto"/>
          <w:highlight w:val="none"/>
          <w:u w:val="none"/>
        </w:rPr>
        <w:t>实际，特制定本方案</w:t>
      </w:r>
      <w:r>
        <w:rPr>
          <w:rFonts w:hint="eastAsia" w:ascii="仿宋_GB2312" w:hAnsi="仿宋_GB2312" w:eastAsia="仿宋_GB2312" w:cs="仿宋_GB2312"/>
          <w:b w:val="0"/>
          <w:bCs w:val="0"/>
          <w:color w:val="auto"/>
          <w:highlight w:val="none"/>
          <w:u w:val="none"/>
          <w:lang w:eastAsia="zh-CN"/>
        </w:rPr>
        <w:t>。</w:t>
      </w:r>
    </w:p>
    <w:p w14:paraId="5E3C32C0">
      <w:pPr>
        <w:pStyle w:val="16"/>
        <w:pageBreakBefore w:val="0"/>
        <w:widowControl w:val="0"/>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color w:val="auto"/>
          <w:highlight w:val="none"/>
        </w:rPr>
      </w:pPr>
      <w:r>
        <w:rPr>
          <w:rFonts w:hint="eastAsia"/>
          <w:color w:val="auto"/>
          <w:highlight w:val="none"/>
          <w:lang w:val="en-US" w:eastAsia="zh-CN"/>
        </w:rPr>
        <w:t>一、项目背景</w:t>
      </w:r>
      <w:bookmarkEnd w:id="1"/>
    </w:p>
    <w:p w14:paraId="05322BA5">
      <w:pPr>
        <w:pStyle w:val="16"/>
        <w:pageBreakBefore w:val="0"/>
        <w:widowControl w:val="0"/>
        <w:kinsoku/>
        <w:wordWrap/>
        <w:overflowPunct/>
        <w:topLinePunct w:val="0"/>
        <w:autoSpaceDE/>
        <w:autoSpaceDN/>
        <w:bidi w:val="0"/>
        <w:adjustRightInd w:val="0"/>
        <w:snapToGrid w:val="0"/>
        <w:spacing w:before="0" w:after="0" w:line="600" w:lineRule="exact"/>
        <w:ind w:right="0"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根据《</w:t>
      </w:r>
      <w:r>
        <w:rPr>
          <w:rFonts w:hint="eastAsia" w:ascii="仿宋_GB2312" w:hAnsi="仿宋_GB2312" w:eastAsia="仿宋_GB2312" w:cs="仿宋_GB2312"/>
          <w:b w:val="0"/>
          <w:bCs w:val="0"/>
          <w:color w:val="auto"/>
          <w:highlight w:val="none"/>
          <w:u w:val="none"/>
          <w:lang w:val="en-US" w:eastAsia="zh-CN"/>
        </w:rPr>
        <w:t>扎赉特旗2026年到户产业增收项目实施方案</w:t>
      </w:r>
      <w:r>
        <w:rPr>
          <w:rFonts w:hint="eastAsia" w:ascii="仿宋" w:hAnsi="仿宋" w:eastAsia="仿宋" w:cs="仿宋"/>
          <w:b w:val="0"/>
          <w:bCs w:val="0"/>
          <w:color w:val="auto"/>
          <w:sz w:val="32"/>
          <w:szCs w:val="32"/>
          <w:highlight w:val="none"/>
          <w:lang w:val="en-US" w:eastAsia="zh-CN"/>
        </w:rPr>
        <w:t>》的要求，结合当地特色主导产业布局、农牧户自身发展能力及发展意愿，选好适合的产业种类，形成发展规模，努力提高产业集中度，重点扶持“小种植、小养植、小手工、小买卖、小电商、小作坊”庭院经济发展，积极支持有意愿的贫困户发展庭院经济，多渠道增加贫困户收入。</w:t>
      </w:r>
    </w:p>
    <w:p w14:paraId="043AED47">
      <w:pPr>
        <w:pStyle w:val="16"/>
        <w:pageBreakBefore w:val="0"/>
        <w:widowControl w:val="0"/>
        <w:kinsoku/>
        <w:wordWrap/>
        <w:overflowPunct/>
        <w:topLinePunct w:val="0"/>
        <w:autoSpaceDE/>
        <w:autoSpaceDN/>
        <w:bidi w:val="0"/>
        <w:adjustRightInd w:val="0"/>
        <w:snapToGrid w:val="0"/>
        <w:spacing w:before="0" w:after="0" w:line="600" w:lineRule="exact"/>
        <w:ind w:right="0" w:firstLine="64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一）项目总体目标</w:t>
      </w:r>
    </w:p>
    <w:p w14:paraId="2E1177D6">
      <w:pPr>
        <w:pStyle w:val="16"/>
        <w:pageBreakBefore w:val="0"/>
        <w:widowControl w:val="0"/>
        <w:kinsoku/>
        <w:wordWrap/>
        <w:overflowPunct/>
        <w:topLinePunct w:val="0"/>
        <w:autoSpaceDE/>
        <w:autoSpaceDN/>
        <w:bidi w:val="0"/>
        <w:adjustRightInd w:val="0"/>
        <w:snapToGrid w:val="0"/>
        <w:spacing w:before="0" w:after="0" w:line="600" w:lineRule="exact"/>
        <w:ind w:right="0" w:firstLine="64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u w:val="none"/>
          <w:lang w:val="en-US" w:eastAsia="zh-CN"/>
        </w:rPr>
        <w:t>紧紧围绕我镇</w:t>
      </w:r>
      <w:r>
        <w:rPr>
          <w:rFonts w:hint="eastAsia" w:ascii="仿宋" w:hAnsi="仿宋" w:eastAsia="仿宋" w:cs="仿宋"/>
          <w:b w:val="0"/>
          <w:bCs w:val="0"/>
          <w:color w:val="auto"/>
          <w:sz w:val="32"/>
          <w:szCs w:val="32"/>
          <w:highlight w:val="none"/>
          <w:u w:val="none"/>
          <w:lang w:eastAsia="zh-CN"/>
        </w:rPr>
        <w:t>产业发展规划和发展基础，坚持以农牧民为主体，以市场化、特色化、品牌化为导向，按照项目到户、扶持到人的原则，引导支持农牧民探索发展特色种植、特色养殖、特色手工、特色休闲旅游、特色庭院生产生活服务等多种类型庭院经济。</w:t>
      </w:r>
    </w:p>
    <w:p w14:paraId="0325186D">
      <w:pPr>
        <w:pStyle w:val="16"/>
        <w:pageBreakBefore w:val="0"/>
        <w:widowControl w:val="0"/>
        <w:kinsoku/>
        <w:wordWrap/>
        <w:overflowPunct/>
        <w:topLinePunct w:val="0"/>
        <w:autoSpaceDE/>
        <w:autoSpaceDN/>
        <w:bidi w:val="0"/>
        <w:adjustRightInd w:val="0"/>
        <w:snapToGrid w:val="0"/>
        <w:spacing w:before="0" w:after="0" w:line="600" w:lineRule="exact"/>
        <w:ind w:right="0"/>
        <w:jc w:val="both"/>
        <w:textAlignment w:val="auto"/>
        <w:rPr>
          <w:rFonts w:hint="eastAsia" w:cs="Times New Roman"/>
          <w:color w:val="auto"/>
          <w:highlight w:val="none"/>
          <w:lang w:val="en-US" w:eastAsia="zh-CN"/>
        </w:rPr>
      </w:pPr>
      <w:r>
        <w:rPr>
          <w:rFonts w:hint="eastAsia" w:ascii="仿宋" w:hAnsi="仿宋" w:eastAsia="仿宋" w:cs="仿宋"/>
          <w:b w:val="0"/>
          <w:bCs w:val="0"/>
          <w:color w:val="auto"/>
          <w:highlight w:val="none"/>
          <w:lang w:val="en-US" w:eastAsia="zh-CN"/>
        </w:rPr>
        <w:t xml:space="preserve">    </w:t>
      </w:r>
      <w:r>
        <w:rPr>
          <w:rFonts w:hint="eastAsia" w:ascii="仿宋" w:hAnsi="仿宋" w:eastAsia="仿宋" w:cs="仿宋"/>
          <w:color w:val="auto"/>
          <w:highlight w:val="none"/>
          <w:lang w:val="en-US" w:eastAsia="zh-CN"/>
        </w:rPr>
        <w:t>（二）项目实施内容</w:t>
      </w:r>
    </w:p>
    <w:p w14:paraId="613A0604">
      <w:pPr>
        <w:keepNext w:val="0"/>
        <w:keepLines w:val="0"/>
        <w:pageBreakBefore w:val="0"/>
        <w:widowControl/>
        <w:suppressLineNumbers w:val="0"/>
        <w:kinsoku/>
        <w:wordWrap/>
        <w:overflowPunct/>
        <w:topLinePunct w:val="0"/>
        <w:autoSpaceDN/>
        <w:bidi w:val="0"/>
        <w:adjustRightInd w:val="0"/>
        <w:snapToGrid w:val="0"/>
        <w:spacing w:line="600" w:lineRule="exact"/>
        <w:ind w:right="0" w:firstLine="640" w:firstLineChars="200"/>
        <w:jc w:val="both"/>
        <w:textAlignment w:val="auto"/>
        <w:rPr>
          <w:rFonts w:hint="default"/>
          <w:color w:val="auto"/>
          <w:highlight w:val="none"/>
          <w:lang w:val="en-US"/>
        </w:rPr>
      </w:pPr>
      <w:r>
        <w:rPr>
          <w:rFonts w:hint="eastAsia" w:ascii="仿宋" w:hAnsi="仿宋" w:eastAsia="仿宋" w:cs="仿宋"/>
          <w:b w:val="0"/>
          <w:bCs w:val="0"/>
          <w:color w:val="auto"/>
          <w:sz w:val="32"/>
          <w:szCs w:val="40"/>
          <w:highlight w:val="none"/>
          <w:u w:val="none"/>
          <w:lang w:val="en-US" w:eastAsia="zh-CN"/>
        </w:rPr>
        <w:t>1.</w:t>
      </w:r>
      <w:r>
        <w:rPr>
          <w:rFonts w:hint="eastAsia" w:ascii="仿宋" w:hAnsi="仿宋" w:eastAsia="仿宋" w:cs="仿宋"/>
          <w:b w:val="0"/>
          <w:bCs w:val="0"/>
          <w:color w:val="auto"/>
          <w:kern w:val="0"/>
          <w:sz w:val="31"/>
          <w:szCs w:val="31"/>
          <w:highlight w:val="none"/>
          <w:lang w:val="en-US" w:eastAsia="zh-CN" w:bidi="ar"/>
        </w:rPr>
        <w:t>种植类。</w:t>
      </w:r>
      <w:r>
        <w:rPr>
          <w:rFonts w:ascii="仿宋" w:hAnsi="仿宋" w:eastAsia="仿宋" w:cs="仿宋"/>
          <w:color w:val="auto"/>
          <w:kern w:val="0"/>
          <w:sz w:val="31"/>
          <w:szCs w:val="31"/>
          <w:highlight w:val="none"/>
          <w:lang w:val="en-US" w:eastAsia="zh-CN" w:bidi="ar"/>
        </w:rPr>
        <w:t>利用农牧户庭院种植</w:t>
      </w:r>
      <w:r>
        <w:rPr>
          <w:rFonts w:hint="eastAsia" w:ascii="仿宋" w:hAnsi="仿宋" w:eastAsia="仿宋" w:cs="仿宋"/>
          <w:color w:val="auto"/>
          <w:kern w:val="0"/>
          <w:sz w:val="31"/>
          <w:szCs w:val="31"/>
          <w:highlight w:val="none"/>
          <w:lang w:val="en-US" w:eastAsia="zh-CN" w:bidi="ar"/>
        </w:rPr>
        <w:t>中药材、食用菌、万寿菊、水稻、剁椒、牧草（重点发展紫花苜蓿、鲁梅克斯草等）、果树、种苗（中药材、林果等）、蔬菜大棚等。庭院水稻项目只补贴2026年新改造的项目，原有的庭院水稻不在享受政策扶持。</w:t>
      </w:r>
    </w:p>
    <w:p w14:paraId="7B5C44F9">
      <w:pPr>
        <w:keepNext w:val="0"/>
        <w:keepLines w:val="0"/>
        <w:pageBreakBefore w:val="0"/>
        <w:widowControl/>
        <w:suppressLineNumbers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2.养殖类。</w:t>
      </w:r>
      <w:r>
        <w:rPr>
          <w:rFonts w:hint="eastAsia" w:ascii="仿宋" w:hAnsi="仿宋" w:eastAsia="仿宋" w:cs="仿宋"/>
          <w:color w:val="auto"/>
          <w:kern w:val="0"/>
          <w:sz w:val="31"/>
          <w:szCs w:val="31"/>
          <w:highlight w:val="none"/>
          <w:lang w:val="en-US" w:eastAsia="zh-CN" w:bidi="ar"/>
        </w:rPr>
        <w:t xml:space="preserve">利用农牧户庭院养殖特色产业（乌鸡、鸽子、鸵鸟等），其他常规小养殖不予补贴。  </w:t>
      </w:r>
    </w:p>
    <w:p w14:paraId="3175E5A2">
      <w:pPr>
        <w:keepNext w:val="0"/>
        <w:keepLines w:val="0"/>
        <w:pageBreakBefore w:val="0"/>
        <w:widowControl/>
        <w:suppressLineNumbers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3.手工类。</w:t>
      </w:r>
      <w:r>
        <w:rPr>
          <w:rFonts w:hint="eastAsia" w:ascii="仿宋" w:hAnsi="仿宋" w:eastAsia="仿宋" w:cs="仿宋"/>
          <w:color w:val="auto"/>
          <w:kern w:val="0"/>
          <w:sz w:val="31"/>
          <w:szCs w:val="31"/>
          <w:highlight w:val="none"/>
          <w:lang w:val="en-US" w:eastAsia="zh-CN" w:bidi="ar"/>
        </w:rPr>
        <w:t xml:space="preserve">利用农牧户庭院、闲置房屋，加工草编、刺绣、缝纫、剪纸、民族手工艺品等，在机械设施上给予补贴。 </w:t>
      </w:r>
    </w:p>
    <w:p w14:paraId="3A564C59">
      <w:pPr>
        <w:keepNext w:val="0"/>
        <w:keepLines w:val="0"/>
        <w:pageBreakBefore w:val="0"/>
        <w:widowControl/>
        <w:suppressLineNumbers w:val="0"/>
        <w:kinsoku/>
        <w:wordWrap/>
        <w:overflowPunct/>
        <w:topLinePunct w:val="0"/>
        <w:autoSpaceDN/>
        <w:bidi w:val="0"/>
        <w:adjustRightInd w:val="0"/>
        <w:snapToGrid w:val="0"/>
        <w:spacing w:line="600" w:lineRule="exact"/>
        <w:ind w:right="0" w:firstLine="640" w:firstLineChars="200"/>
        <w:jc w:val="both"/>
        <w:textAlignment w:val="auto"/>
        <w:rPr>
          <w:color w:val="auto"/>
          <w:highlight w:val="none"/>
        </w:rPr>
      </w:pPr>
      <w:r>
        <w:rPr>
          <w:rFonts w:hint="eastAsia" w:ascii="仿宋" w:hAnsi="仿宋" w:eastAsia="仿宋" w:cs="仿宋"/>
          <w:b w:val="0"/>
          <w:bCs w:val="0"/>
          <w:color w:val="auto"/>
          <w:sz w:val="32"/>
          <w:szCs w:val="40"/>
          <w:highlight w:val="none"/>
          <w:u w:val="none"/>
          <w:lang w:val="en-US" w:eastAsia="zh-CN"/>
        </w:rPr>
        <w:t>4.小买卖类。围绕农旅融合</w:t>
      </w:r>
      <w:r>
        <w:rPr>
          <w:rFonts w:hint="eastAsia" w:ascii="仿宋" w:hAnsi="仿宋" w:eastAsia="仿宋" w:cs="仿宋"/>
          <w:b w:val="0"/>
          <w:bCs w:val="0"/>
          <w:color w:val="auto"/>
          <w:kern w:val="0"/>
          <w:sz w:val="31"/>
          <w:szCs w:val="31"/>
          <w:highlight w:val="none"/>
          <w:lang w:val="en-US" w:eastAsia="zh-CN" w:bidi="ar"/>
        </w:rPr>
        <w:t>支</w:t>
      </w:r>
      <w:r>
        <w:rPr>
          <w:rFonts w:hint="eastAsia" w:ascii="仿宋" w:hAnsi="仿宋" w:eastAsia="仿宋" w:cs="仿宋"/>
          <w:color w:val="auto"/>
          <w:kern w:val="0"/>
          <w:sz w:val="31"/>
          <w:szCs w:val="31"/>
          <w:highlight w:val="none"/>
          <w:lang w:val="en-US" w:eastAsia="zh-CN" w:bidi="ar"/>
        </w:rPr>
        <w:t xml:space="preserve">持有条件的农牧户开设农家乐、牧家乐、林家乐等。 </w:t>
      </w:r>
    </w:p>
    <w:p w14:paraId="0D5238B7">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5.小电商类。</w:t>
      </w:r>
      <w:r>
        <w:rPr>
          <w:rFonts w:hint="eastAsia" w:ascii="仿宋" w:hAnsi="仿宋" w:eastAsia="仿宋" w:cs="仿宋"/>
          <w:color w:val="auto"/>
          <w:kern w:val="0"/>
          <w:sz w:val="31"/>
          <w:szCs w:val="31"/>
          <w:highlight w:val="none"/>
          <w:lang w:val="en-US" w:eastAsia="zh-CN" w:bidi="ar"/>
        </w:rPr>
        <w:t>支持有条件的农牧户开展网络销售和快递业务，帮助周边农牧户销售农特产品、购买生产生活用品，减少购销中间环节，提高农牧产品知名度和附加值，增加农牧民收入。</w:t>
      </w:r>
    </w:p>
    <w:p w14:paraId="4A319CE0">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0"/>
          <w:sz w:val="31"/>
          <w:szCs w:val="31"/>
          <w:highlight w:val="none"/>
          <w:lang w:val="en-US" w:eastAsia="zh-CN" w:bidi="ar"/>
        </w:rPr>
      </w:pPr>
      <w:r>
        <w:rPr>
          <w:rFonts w:hint="eastAsia" w:ascii="仿宋" w:hAnsi="仿宋" w:eastAsia="仿宋" w:cs="仿宋"/>
          <w:b w:val="0"/>
          <w:bCs w:val="0"/>
          <w:color w:val="auto"/>
          <w:sz w:val="32"/>
          <w:szCs w:val="40"/>
          <w:highlight w:val="none"/>
          <w:u w:val="none"/>
          <w:lang w:val="en-US" w:eastAsia="zh-CN"/>
        </w:rPr>
        <w:t>6.小作坊类。</w:t>
      </w:r>
      <w:r>
        <w:rPr>
          <w:rFonts w:hint="eastAsia" w:ascii="仿宋" w:hAnsi="仿宋" w:eastAsia="仿宋" w:cs="仿宋"/>
          <w:color w:val="auto"/>
          <w:kern w:val="0"/>
          <w:sz w:val="31"/>
          <w:szCs w:val="31"/>
          <w:highlight w:val="none"/>
          <w:lang w:val="en-US" w:eastAsia="zh-CN" w:bidi="ar"/>
        </w:rPr>
        <w:t>支持有条件的农牧户建立小作坊，进行农产品(面粉、食用油等)、食品(面食、豆腐、粉条、调味品等)、民族食品加工等。</w:t>
      </w:r>
    </w:p>
    <w:p w14:paraId="1FD2EA7F">
      <w:pPr>
        <w:pStyle w:val="16"/>
        <w:pageBreakBefore w:val="0"/>
        <w:widowControl w:val="0"/>
        <w:numPr>
          <w:ilvl w:val="-1"/>
          <w:numId w:val="0"/>
        </w:numPr>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cs="Times New Roman"/>
          <w:b/>
          <w:bCs/>
          <w:color w:val="auto"/>
          <w:sz w:val="32"/>
          <w:szCs w:val="32"/>
          <w:highlight w:val="none"/>
          <w:lang w:val="en-US" w:eastAsia="zh-CN"/>
        </w:rPr>
      </w:pPr>
      <w:r>
        <w:rPr>
          <w:rFonts w:hint="eastAsia" w:ascii="等线 Light" w:hAnsi="等线 Light" w:cs="Times New Roman" w:eastAsiaTheme="minorEastAsia"/>
          <w:b/>
          <w:bCs/>
          <w:color w:val="auto"/>
          <w:sz w:val="32"/>
          <w:szCs w:val="32"/>
          <w:highlight w:val="none"/>
          <w:lang w:val="en-US" w:eastAsia="zh-CN"/>
        </w:rPr>
        <w:t>二、</w:t>
      </w:r>
      <w:r>
        <w:rPr>
          <w:rFonts w:hint="eastAsia" w:cs="Times New Roman"/>
          <w:b/>
          <w:bCs/>
          <w:color w:val="auto"/>
          <w:sz w:val="32"/>
          <w:szCs w:val="32"/>
          <w:highlight w:val="none"/>
          <w:lang w:val="en-US" w:eastAsia="zh-CN"/>
        </w:rPr>
        <w:t>本</w:t>
      </w:r>
      <w:r>
        <w:rPr>
          <w:rFonts w:hint="eastAsia" w:ascii="等线 Light" w:hAnsi="等线 Light" w:cs="Times New Roman" w:eastAsiaTheme="minorEastAsia"/>
          <w:b/>
          <w:bCs/>
          <w:color w:val="auto"/>
          <w:sz w:val="32"/>
          <w:szCs w:val="32"/>
          <w:highlight w:val="none"/>
          <w:lang w:val="en-US" w:eastAsia="zh-CN"/>
        </w:rPr>
        <w:t>项目</w:t>
      </w:r>
      <w:r>
        <w:rPr>
          <w:rFonts w:hint="eastAsia" w:cs="Times New Roman"/>
          <w:b/>
          <w:bCs/>
          <w:color w:val="auto"/>
          <w:sz w:val="32"/>
          <w:szCs w:val="32"/>
          <w:highlight w:val="none"/>
          <w:lang w:val="en-US" w:eastAsia="zh-CN"/>
        </w:rPr>
        <w:t>实施内容</w:t>
      </w:r>
    </w:p>
    <w:p w14:paraId="3B9A7035">
      <w:pPr>
        <w:pStyle w:val="16"/>
        <w:pageBreakBefore w:val="0"/>
        <w:widowControl w:val="0"/>
        <w:numPr>
          <w:ilvl w:val="-1"/>
          <w:numId w:val="0"/>
        </w:numPr>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（一）项目实施单位基本情况</w:t>
      </w:r>
    </w:p>
    <w:p w14:paraId="1E6EE9BF">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巴达尔胡镇位于扎赉特旗中北部，东与音德尔镇、阿尔本格勒镇为邻，南与巴彦高勒镇相望，西与胡尔勒镇交界，西北与巴彦乌兰苏木接壤。"巴达尔胡"系蒙古语，意为"兴旺发达"。镇所在地巴达尔胡嘎查距离音德尔镇45公里，距离省级通道20公里。全镇总面积688平方公里，现辖14个嘎查、1个社区，共46个自然屯，总人口6109户、18683人，民族结构以蒙古族为主，约占98%，另有部分汉族、满族群众。全镇现有耕地面积24.54万亩，草牧场面积35.5万亩，林地面积36.9万亩，大小畜24万头只。</w:t>
      </w:r>
      <w:r>
        <w:rPr>
          <w:rFonts w:hint="eastAsia" w:ascii="仿宋_GB2312" w:hAnsi="仿宋_GB2312" w:eastAsia="仿宋_GB2312" w:cs="仿宋_GB2312"/>
          <w:color w:val="auto"/>
          <w:sz w:val="32"/>
          <w:szCs w:val="32"/>
          <w:highlight w:val="none"/>
          <w:lang w:eastAsia="zh-CN"/>
        </w:rPr>
        <w:t>有肉牛养殖、黑木耳、中草药、</w:t>
      </w:r>
      <w:r>
        <w:rPr>
          <w:rFonts w:hint="eastAsia" w:ascii="仿宋_GB2312" w:hAnsi="仿宋_GB2312" w:eastAsia="仿宋_GB2312" w:cs="仿宋_GB2312"/>
          <w:color w:val="auto"/>
          <w:sz w:val="32"/>
          <w:szCs w:val="32"/>
          <w:highlight w:val="none"/>
          <w:lang w:val="en-US" w:eastAsia="zh-CN"/>
        </w:rPr>
        <w:t>甜玉米</w:t>
      </w:r>
      <w:r>
        <w:rPr>
          <w:rFonts w:hint="eastAsia" w:ascii="仿宋_GB2312" w:hAnsi="仿宋_GB2312" w:eastAsia="仿宋_GB2312" w:cs="仿宋_GB2312"/>
          <w:color w:val="auto"/>
          <w:sz w:val="32"/>
          <w:szCs w:val="32"/>
          <w:highlight w:val="none"/>
          <w:lang w:eastAsia="zh-CN"/>
        </w:rPr>
        <w:t>种植等特色产业。</w:t>
      </w:r>
    </w:p>
    <w:p w14:paraId="38FD2CE4">
      <w:pPr>
        <w:pageBreakBefore w:val="0"/>
        <w:widowControl w:val="0"/>
        <w:numPr>
          <w:ilvl w:val="-1"/>
          <w:numId w:val="0"/>
        </w:numPr>
        <w:kinsoku/>
        <w:wordWrap/>
        <w:overflowPunct/>
        <w:topLinePunct w:val="0"/>
        <w:autoSpaceDE w:val="0"/>
        <w:autoSpaceDN/>
        <w:bidi w:val="0"/>
        <w:adjustRightInd w:val="0"/>
        <w:snapToGrid w:val="0"/>
        <w:spacing w:line="600" w:lineRule="exact"/>
        <w:ind w:right="0" w:firstLine="601" w:firstLineChars="0"/>
        <w:jc w:val="both"/>
        <w:textAlignment w:val="auto"/>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巴达尔胡镇是一个农牧业相结合的乡镇，设施农业基础薄弱，加之土地坡度大，耕地越种越薄，提高作物年产和种植业结构的调整，均难以实现，缺水和节水的矛</w:t>
      </w:r>
      <w:r>
        <w:rPr>
          <w:rFonts w:hint="eastAsia" w:ascii="仿宋" w:hAnsi="仿宋" w:eastAsia="仿宋" w:cs="仿宋"/>
          <w:b w:val="0"/>
          <w:bCs w:val="0"/>
          <w:color w:val="auto"/>
          <w:sz w:val="32"/>
          <w:szCs w:val="32"/>
          <w:highlight w:val="none"/>
          <w:lang w:val="en-US" w:eastAsia="zh-CN"/>
        </w:rPr>
        <w:t>盾越来越凸显。为了使该镇农牧民增加收入，经巴达尔胡镇镇党委、政府研究决定，根据我镇实际，因地制宜发展庭院经济，加大庭院利用率，增加农牧民收入。</w:t>
      </w:r>
    </w:p>
    <w:p w14:paraId="4B6CF87E">
      <w:pPr>
        <w:pStyle w:val="16"/>
        <w:keepNext w:val="0"/>
        <w:keepLines w:val="0"/>
        <w:pageBreakBefore w:val="0"/>
        <w:widowControl/>
        <w:numPr>
          <w:ilvl w:val="0"/>
          <w:numId w:val="0"/>
        </w:numPr>
        <w:kinsoku/>
        <w:wordWrap/>
        <w:overflowPunct/>
        <w:topLinePunct w:val="0"/>
        <w:autoSpaceDE/>
        <w:autoSpaceDN/>
        <w:bidi w:val="0"/>
        <w:adjustRightInd w:val="0"/>
        <w:snapToGrid w:val="0"/>
        <w:spacing w:before="0" w:after="0" w:line="600" w:lineRule="exact"/>
        <w:ind w:left="0" w:leftChars="0" w:right="0" w:firstLine="643"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2"/>
          <w:sz w:val="32"/>
          <w:szCs w:val="32"/>
          <w:highlight w:val="none"/>
          <w:lang w:val="en-US" w:eastAsia="zh-CN" w:bidi="ar-SA"/>
        </w:rPr>
        <w:t>（二）项目实施主要内容</w:t>
      </w:r>
    </w:p>
    <w:p w14:paraId="22A3FD6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1.巴达尔胡镇</w:t>
      </w:r>
      <w:r>
        <w:rPr>
          <w:rFonts w:hint="eastAsia" w:ascii="仿宋" w:hAnsi="仿宋" w:eastAsia="仿宋" w:cs="仿宋"/>
          <w:color w:val="auto"/>
          <w:kern w:val="2"/>
          <w:sz w:val="32"/>
          <w:szCs w:val="32"/>
          <w:highlight w:val="none"/>
          <w:u w:val="none"/>
          <w:lang w:val="en-US" w:eastAsia="zh-CN" w:bidi="ar-SA"/>
        </w:rPr>
        <w:t>有劳动能力的脱贫户和监测户</w:t>
      </w:r>
      <w:r>
        <w:rPr>
          <w:rFonts w:hint="eastAsia" w:ascii="仿宋_GB2312" w:hAnsi="仿宋_GB2312" w:eastAsia="仿宋_GB2312" w:cs="仿宋_GB2312"/>
          <w:color w:val="auto"/>
          <w:sz w:val="32"/>
          <w:szCs w:val="32"/>
          <w:highlight w:val="none"/>
          <w:lang w:eastAsia="zh-CN"/>
        </w:rPr>
        <w:t>庭院经济发展项目户1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户，覆盖5个嘎查，主要计划种植苍术</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亩，涉及户数</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lang w:val="en-US" w:eastAsia="zh-CN"/>
        </w:rPr>
        <w:t>甜玉米28</w:t>
      </w:r>
      <w:r>
        <w:rPr>
          <w:rFonts w:hint="eastAsia" w:ascii="仿宋_GB2312" w:hAnsi="仿宋_GB2312" w:eastAsia="仿宋_GB2312" w:cs="仿宋_GB2312"/>
          <w:color w:val="auto"/>
          <w:sz w:val="32"/>
          <w:szCs w:val="32"/>
          <w:highlight w:val="none"/>
          <w:lang w:eastAsia="zh-CN"/>
        </w:rPr>
        <w:t>亩，涉及</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户；果树1</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棵，涉及1户；</w:t>
      </w:r>
      <w:r>
        <w:rPr>
          <w:rFonts w:hint="eastAsia" w:ascii="仿宋_GB2312" w:hAnsi="仿宋_GB2312" w:eastAsia="仿宋_GB2312" w:cs="仿宋_GB2312"/>
          <w:color w:val="auto"/>
          <w:sz w:val="32"/>
          <w:szCs w:val="32"/>
          <w:highlight w:val="none"/>
          <w:lang w:val="en-US" w:eastAsia="zh-CN"/>
        </w:rPr>
        <w:t>养殖大鹅220只，涉及2户；生猪20头，涉及1户；发展小作坊1个，涉及1户</w:t>
      </w:r>
      <w:r>
        <w:rPr>
          <w:rFonts w:hint="eastAsia" w:ascii="仿宋_GB2312" w:hAnsi="仿宋_GB2312" w:eastAsia="仿宋_GB2312" w:cs="仿宋_GB2312"/>
          <w:color w:val="auto"/>
          <w:sz w:val="32"/>
          <w:szCs w:val="32"/>
          <w:highlight w:val="none"/>
          <w:lang w:eastAsia="zh-CN"/>
        </w:rPr>
        <w:t>。</w:t>
      </w:r>
    </w:p>
    <w:p w14:paraId="18B45BB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2.巴达尔胡镇</w:t>
      </w:r>
      <w:r>
        <w:rPr>
          <w:rFonts w:hint="eastAsia" w:ascii="仿宋" w:hAnsi="仿宋" w:eastAsia="仿宋" w:cs="仿宋"/>
          <w:color w:val="auto"/>
          <w:kern w:val="2"/>
          <w:sz w:val="32"/>
          <w:szCs w:val="32"/>
          <w:highlight w:val="none"/>
          <w:u w:val="none"/>
          <w:lang w:val="en-US" w:eastAsia="zh-CN" w:bidi="ar-SA"/>
        </w:rPr>
        <w:t>整户无劳动能力的脱贫户、监测户</w:t>
      </w:r>
      <w:r>
        <w:rPr>
          <w:rFonts w:hint="eastAsia" w:ascii="仿宋_GB2312" w:hAnsi="仿宋_GB2312" w:eastAsia="仿宋_GB2312" w:cs="仿宋_GB2312"/>
          <w:color w:val="auto"/>
          <w:sz w:val="32"/>
          <w:szCs w:val="32"/>
          <w:highlight w:val="none"/>
          <w:lang w:eastAsia="zh-CN"/>
        </w:rPr>
        <w:t>庭院经济发展项目户</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lang w:eastAsia="zh-CN"/>
        </w:rPr>
        <w:t>户，覆盖</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个嘎查，主要计划种植</w:t>
      </w:r>
      <w:r>
        <w:rPr>
          <w:rFonts w:hint="eastAsia" w:ascii="仿宋_GB2312" w:hAnsi="仿宋_GB2312" w:eastAsia="仿宋_GB2312" w:cs="仿宋_GB2312"/>
          <w:color w:val="auto"/>
          <w:sz w:val="32"/>
          <w:szCs w:val="32"/>
          <w:highlight w:val="none"/>
          <w:lang w:val="en-US" w:eastAsia="zh-CN"/>
        </w:rPr>
        <w:t>蔬菜24.3</w:t>
      </w:r>
      <w:r>
        <w:rPr>
          <w:rFonts w:hint="eastAsia" w:ascii="仿宋_GB2312" w:hAnsi="仿宋_GB2312" w:eastAsia="仿宋_GB2312" w:cs="仿宋_GB2312"/>
          <w:color w:val="auto"/>
          <w:sz w:val="32"/>
          <w:szCs w:val="32"/>
          <w:highlight w:val="none"/>
          <w:lang w:eastAsia="zh-CN"/>
        </w:rPr>
        <w:t>亩，涉及户数</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lang w:val="en-US" w:eastAsia="zh-CN"/>
        </w:rPr>
        <w:t>玉米15</w:t>
      </w:r>
      <w:r>
        <w:rPr>
          <w:rFonts w:hint="eastAsia" w:ascii="仿宋_GB2312" w:hAnsi="仿宋_GB2312" w:eastAsia="仿宋_GB2312" w:cs="仿宋_GB2312"/>
          <w:color w:val="auto"/>
          <w:sz w:val="32"/>
          <w:szCs w:val="32"/>
          <w:highlight w:val="none"/>
          <w:lang w:eastAsia="zh-CN"/>
        </w:rPr>
        <w:t>亩，涉及</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户。</w:t>
      </w:r>
    </w:p>
    <w:p w14:paraId="274A5CBB">
      <w:pPr>
        <w:pStyle w:val="2"/>
        <w:pageBreakBefore w:val="0"/>
        <w:kinsoku/>
        <w:wordWrap/>
        <w:overflowPunct/>
        <w:topLinePunct w:val="0"/>
        <w:autoSpaceDN/>
        <w:bidi w:val="0"/>
        <w:spacing w:line="600" w:lineRule="exact"/>
        <w:ind w:right="0"/>
        <w:jc w:val="both"/>
        <w:textAlignment w:val="auto"/>
        <w:rPr>
          <w:rFonts w:hint="eastAsia"/>
          <w:highlight w:val="none"/>
          <w:lang w:val="en-US" w:eastAsia="zh-CN"/>
        </w:rPr>
      </w:pPr>
    </w:p>
    <w:p w14:paraId="0AE37576">
      <w:pPr>
        <w:pStyle w:val="16"/>
        <w:keepNext w:val="0"/>
        <w:keepLines w:val="0"/>
        <w:pageBreakBefore w:val="0"/>
        <w:widowControl/>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（三）项目实施地点</w:t>
      </w:r>
    </w:p>
    <w:p w14:paraId="1B8FB38A">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1.巴达尔胡镇有劳动能力的脱贫户和监测户庭院经济发展项目实施具体地点为巴达尔胡镇5个嘎查，其中包括：</w:t>
      </w:r>
      <w:r>
        <w:rPr>
          <w:rFonts w:hint="eastAsia" w:ascii="仿宋" w:hAnsi="仿宋" w:eastAsia="仿宋" w:cs="仿宋"/>
          <w:b w:val="0"/>
          <w:bCs w:val="0"/>
          <w:color w:val="auto"/>
          <w:sz w:val="32"/>
          <w:szCs w:val="32"/>
          <w:highlight w:val="none"/>
          <w:lang w:eastAsia="zh-CN"/>
        </w:rPr>
        <w:t>巴达尔胡镇</w:t>
      </w:r>
      <w:r>
        <w:rPr>
          <w:rFonts w:hint="eastAsia" w:ascii="仿宋" w:hAnsi="仿宋" w:eastAsia="仿宋" w:cs="仿宋"/>
          <w:b w:val="0"/>
          <w:bCs w:val="0"/>
          <w:color w:val="auto"/>
          <w:sz w:val="32"/>
          <w:szCs w:val="32"/>
          <w:highlight w:val="none"/>
          <w:lang w:val="en-US" w:eastAsia="zh-CN"/>
        </w:rPr>
        <w:t>巴达尔胡嘎查、乌都岱嘎查、乌兰格日勒、伊力特嘎查、居日很扎拉嘎嘎查</w:t>
      </w:r>
      <w:r>
        <w:rPr>
          <w:rFonts w:hint="eastAsia" w:ascii="仿宋" w:hAnsi="仿宋" w:eastAsia="仿宋" w:cs="仿宋"/>
          <w:b w:val="0"/>
          <w:bCs w:val="0"/>
          <w:color w:val="auto"/>
          <w:sz w:val="32"/>
          <w:szCs w:val="32"/>
          <w:highlight w:val="none"/>
          <w:lang w:eastAsia="zh-CN"/>
        </w:rPr>
        <w:t>等</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lang w:eastAsia="zh-CN"/>
        </w:rPr>
        <w:t>个嘎查。</w:t>
      </w:r>
    </w:p>
    <w:p w14:paraId="71B9ED80">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0" w:firstLineChars="200"/>
        <w:jc w:val="both"/>
        <w:textAlignment w:val="auto"/>
        <w:rPr>
          <w:rFonts w:hint="eastAsia"/>
          <w:highlight w:val="none"/>
          <w:lang w:eastAsia="zh-CN"/>
        </w:rPr>
      </w:pPr>
      <w:r>
        <w:rPr>
          <w:rFonts w:hint="eastAsia" w:ascii="仿宋" w:hAnsi="仿宋" w:eastAsia="仿宋" w:cs="仿宋"/>
          <w:b w:val="0"/>
          <w:bCs w:val="0"/>
          <w:color w:val="auto"/>
          <w:sz w:val="32"/>
          <w:szCs w:val="32"/>
          <w:highlight w:val="none"/>
          <w:lang w:val="en-US" w:eastAsia="zh-CN"/>
        </w:rPr>
        <w:t>2.巴达尔胡镇整户无劳动能力的脱贫户、监测户庭院经济发展项目实施具体地点为巴达尔胡镇10个嘎查，其中包括：</w:t>
      </w:r>
      <w:r>
        <w:rPr>
          <w:rFonts w:hint="eastAsia" w:ascii="仿宋" w:hAnsi="仿宋" w:eastAsia="仿宋" w:cs="仿宋"/>
          <w:b w:val="0"/>
          <w:bCs w:val="0"/>
          <w:color w:val="auto"/>
          <w:sz w:val="32"/>
          <w:szCs w:val="32"/>
          <w:highlight w:val="none"/>
          <w:lang w:eastAsia="zh-CN"/>
        </w:rPr>
        <w:t>巴达尔胡镇</w:t>
      </w:r>
      <w:r>
        <w:rPr>
          <w:rFonts w:hint="eastAsia" w:ascii="仿宋" w:hAnsi="仿宋" w:eastAsia="仿宋" w:cs="仿宋"/>
          <w:b w:val="0"/>
          <w:bCs w:val="0"/>
          <w:color w:val="auto"/>
          <w:sz w:val="32"/>
          <w:szCs w:val="32"/>
          <w:highlight w:val="none"/>
          <w:lang w:val="en-US" w:eastAsia="zh-CN"/>
        </w:rPr>
        <w:t>查干居日河嘎查、德发嘎查、居日很扎拉嘎嘎查、塔本毛都嘎查、乌都岱嘎查、乌恩扎拉嘎嘎查、乌兰格日勒嘎查、乌兰套海嘎查、新合嘎查、伊力特嘎查</w:t>
      </w:r>
      <w:r>
        <w:rPr>
          <w:rFonts w:hint="eastAsia" w:ascii="仿宋" w:hAnsi="仿宋" w:eastAsia="仿宋" w:cs="仿宋"/>
          <w:b w:val="0"/>
          <w:bCs w:val="0"/>
          <w:color w:val="auto"/>
          <w:sz w:val="32"/>
          <w:szCs w:val="32"/>
          <w:highlight w:val="none"/>
          <w:lang w:eastAsia="zh-CN"/>
        </w:rPr>
        <w:t>等</w:t>
      </w: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lang w:eastAsia="zh-CN"/>
        </w:rPr>
        <w:t>个嘎查。</w:t>
      </w:r>
    </w:p>
    <w:p w14:paraId="1E371514">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项目资金规模</w:t>
      </w:r>
      <w:r>
        <w:rPr>
          <w:rFonts w:hint="eastAsia" w:ascii="仿宋" w:hAnsi="仿宋" w:eastAsia="仿宋" w:cs="仿宋"/>
          <w:b/>
          <w:bCs/>
          <w:color w:val="auto"/>
          <w:sz w:val="32"/>
          <w:szCs w:val="32"/>
          <w:highlight w:val="none"/>
          <w:lang w:val="en-US" w:eastAsia="zh-CN"/>
        </w:rPr>
        <w:t>及来源</w:t>
      </w:r>
    </w:p>
    <w:p w14:paraId="5451DF4A">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该项目总投资6.835万元，其中：有劳动能力的脱贫户和监测户庭院经济发展项目</w:t>
      </w:r>
      <w:r>
        <w:rPr>
          <w:rFonts w:hint="eastAsia" w:ascii="仿宋_GB2312" w:hAnsi="仿宋_GB2312" w:eastAsia="仿宋_GB2312" w:cs="仿宋_GB2312"/>
          <w:b w:val="0"/>
          <w:bCs w:val="0"/>
          <w:color w:val="auto"/>
          <w:sz w:val="32"/>
          <w:szCs w:val="32"/>
          <w:highlight w:val="none"/>
          <w:lang w:val="en-US" w:eastAsia="zh-CN"/>
        </w:rPr>
        <w:t>4.315万元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 w:hAnsi="仿宋" w:eastAsia="仿宋" w:cs="仿宋"/>
          <w:b w:val="0"/>
          <w:bCs w:val="0"/>
          <w:color w:val="auto"/>
          <w:sz w:val="32"/>
          <w:szCs w:val="32"/>
          <w:highlight w:val="none"/>
          <w:lang w:val="en-US" w:eastAsia="zh-CN"/>
        </w:rPr>
        <w:t>整户无劳动能力的脱贫户、监测户庭院经济发展项目2.52万元</w:t>
      </w:r>
      <w:r>
        <w:rPr>
          <w:rFonts w:hint="eastAsia" w:ascii="仿宋_GB2312" w:hAnsi="仿宋_GB2312" w:eastAsia="仿宋_GB2312" w:cs="仿宋_GB2312"/>
          <w:b w:val="0"/>
          <w:bCs w:val="0"/>
          <w:color w:val="auto"/>
          <w:sz w:val="32"/>
          <w:szCs w:val="32"/>
          <w:highlight w:val="none"/>
          <w:lang w:val="en-US" w:eastAsia="zh-CN"/>
        </w:rPr>
        <w:t>，资金来源全部为统筹整合2026年涉农涉牧资金。</w:t>
      </w:r>
    </w:p>
    <w:p w14:paraId="485F54FD">
      <w:pPr>
        <w:keepNext w:val="0"/>
        <w:keepLines w:val="0"/>
        <w:pageBreakBefore w:val="0"/>
        <w:widowControl w:val="0"/>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（五）奖补政策及标准</w:t>
      </w:r>
    </w:p>
    <w:p w14:paraId="1A45F194">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奖补标准分为两类，</w:t>
      </w:r>
      <w:r>
        <w:rPr>
          <w:rFonts w:hint="eastAsia" w:ascii="仿宋" w:hAnsi="仿宋" w:eastAsia="仿宋" w:cs="仿宋"/>
          <w:b/>
          <w:bCs/>
          <w:color w:val="auto"/>
          <w:kern w:val="2"/>
          <w:sz w:val="32"/>
          <w:szCs w:val="32"/>
          <w:highlight w:val="none"/>
          <w:u w:val="none"/>
          <w:lang w:val="en-US" w:eastAsia="zh-CN" w:bidi="ar-SA"/>
        </w:rPr>
        <w:t>一是</w:t>
      </w:r>
      <w:r>
        <w:rPr>
          <w:rFonts w:hint="eastAsia" w:ascii="仿宋" w:hAnsi="仿宋" w:eastAsia="仿宋" w:cs="仿宋"/>
          <w:color w:val="auto"/>
          <w:kern w:val="2"/>
          <w:sz w:val="32"/>
          <w:szCs w:val="32"/>
          <w:highlight w:val="none"/>
          <w:u w:val="none"/>
          <w:lang w:val="en-US" w:eastAsia="zh-CN" w:bidi="ar-SA"/>
        </w:rPr>
        <w:t>对整户无劳动能力的脱贫户和监测户，</w:t>
      </w:r>
      <w:r>
        <w:rPr>
          <w:rFonts w:hint="eastAsia" w:ascii="仿宋" w:hAnsi="仿宋" w:eastAsia="仿宋" w:cs="仿宋"/>
          <w:b/>
          <w:bCs/>
          <w:color w:val="auto"/>
          <w:kern w:val="2"/>
          <w:sz w:val="32"/>
          <w:szCs w:val="32"/>
          <w:highlight w:val="none"/>
          <w:u w:val="none"/>
          <w:lang w:val="en-US" w:eastAsia="zh-CN" w:bidi="ar-SA"/>
        </w:rPr>
        <w:t>二是</w:t>
      </w:r>
      <w:r>
        <w:rPr>
          <w:rFonts w:hint="eastAsia" w:ascii="仿宋" w:hAnsi="仿宋" w:eastAsia="仿宋" w:cs="仿宋"/>
          <w:color w:val="auto"/>
          <w:kern w:val="2"/>
          <w:sz w:val="32"/>
          <w:szCs w:val="32"/>
          <w:highlight w:val="none"/>
          <w:u w:val="none"/>
          <w:lang w:val="en-US" w:eastAsia="zh-CN" w:bidi="ar-SA"/>
        </w:rPr>
        <w:t>针对有劳动能力的脱贫户和监测户。</w:t>
      </w:r>
    </w:p>
    <w:p w14:paraId="45BC7D11">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1.整户无劳动能力的脱贫户、监测户奖励标准。只要当年实施了庭院种植和养殖，不分种类和数量，经乡村两级验收属实后，每户奖励700元;整户无劳动能力的脱贫户、监测户的识别按照防返贫系统内标注的为准。</w:t>
      </w:r>
    </w:p>
    <w:p w14:paraId="4A15FD78">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color w:val="auto"/>
          <w:kern w:val="2"/>
          <w:sz w:val="32"/>
          <w:szCs w:val="32"/>
          <w:highlight w:val="none"/>
          <w:u w:val="none"/>
          <w:lang w:val="en-US" w:eastAsia="zh-CN" w:bidi="ar-SA"/>
        </w:rPr>
        <w:t>2.有劳动能力的脱贫户和监测户补贴标准。一是庭院种养类，小种植每户补助上限为2000元，2026年新改建庭院水稻补助上限2000元，往年改建今年实施种植的补助上限1000元，食用菌培育每户补助上限为5000元。小型家禽家畜养殖每户补助上限为2000元;购置兴安多羔羊的脱贫户监测户每户补助上限为5000元，每只羊补贴1200元，超出本方案补贴上限的部分按照《扎赉特旗畜牧良种补贴及牛羊调出大县结余资金整合使用的实施方案》中规定支付:购置兴安多羔羊的项目申报、验收按照《扎赉特旗畜牧良种补贴及牛羊调出大县结余资金整合使用的实施方案》中的规定执行。二是加工经营类。农产品初加工、手工作坊、农村电商销售每户补助5000-10000元。</w:t>
      </w:r>
    </w:p>
    <w:p w14:paraId="77952BE6">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color w:val="auto"/>
          <w:sz w:val="32"/>
          <w:szCs w:val="40"/>
          <w:highlight w:val="none"/>
          <w:u w:val="none"/>
          <w:lang w:val="en-US" w:eastAsia="zh-CN"/>
        </w:rPr>
      </w:pPr>
      <w:r>
        <w:rPr>
          <w:rFonts w:hint="eastAsia" w:ascii="仿宋" w:hAnsi="仿宋" w:eastAsia="仿宋" w:cs="仿宋"/>
          <w:color w:val="auto"/>
          <w:kern w:val="2"/>
          <w:sz w:val="32"/>
          <w:szCs w:val="32"/>
          <w:highlight w:val="none"/>
          <w:u w:val="none"/>
          <w:lang w:val="en-US" w:eastAsia="zh-CN" w:bidi="ar-SA"/>
        </w:rPr>
        <w:t>经农牧户实际成本核算后，低于最高奖补标准的，按照实际结果奖补，高于最高奖补标准的，按最高奖补金额兑现。</w:t>
      </w:r>
    </w:p>
    <w:p w14:paraId="01A93757">
      <w:pPr>
        <w:pStyle w:val="16"/>
        <w:pageBreakBefore w:val="0"/>
        <w:numPr>
          <w:ilvl w:val="0"/>
          <w:numId w:val="0"/>
        </w:numPr>
        <w:kinsoku/>
        <w:wordWrap/>
        <w:overflowPunct/>
        <w:topLinePunct w:val="0"/>
        <w:autoSpaceDN/>
        <w:bidi w:val="0"/>
        <w:adjustRightInd w:val="0"/>
        <w:snapToGrid w:val="0"/>
        <w:spacing w:before="0" w:after="0" w:line="600" w:lineRule="exact"/>
        <w:ind w:right="0" w:firstLine="643" w:firstLineChars="200"/>
        <w:jc w:val="both"/>
        <w:textAlignment w:val="auto"/>
        <w:rPr>
          <w:rFonts w:hint="eastAsia" w:ascii="仿宋" w:hAnsi="仿宋" w:eastAsia="仿宋" w:cs="仿宋"/>
          <w:b/>
          <w:bCs/>
          <w:color w:val="auto"/>
          <w:kern w:val="2"/>
          <w:sz w:val="32"/>
          <w:szCs w:val="32"/>
          <w:highlight w:val="none"/>
          <w:u w:val="none"/>
          <w:lang w:val="en-US" w:eastAsia="zh-CN"/>
        </w:rPr>
      </w:pPr>
      <w:r>
        <w:rPr>
          <w:rFonts w:hint="eastAsia" w:ascii="仿宋" w:hAnsi="仿宋" w:eastAsia="仿宋" w:cs="仿宋"/>
          <w:b/>
          <w:bCs/>
          <w:color w:val="auto"/>
          <w:kern w:val="2"/>
          <w:sz w:val="32"/>
          <w:szCs w:val="32"/>
          <w:highlight w:val="none"/>
          <w:u w:val="none"/>
          <w:lang w:val="en-US" w:eastAsia="zh-CN"/>
        </w:rPr>
        <w:t>（六）庭院经济项目实施申报程序</w:t>
      </w:r>
    </w:p>
    <w:p w14:paraId="047DAD22">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lang w:val="en-US" w:eastAsia="zh-CN"/>
        </w:rPr>
        <w:t>采取“村级申报、乡镇审核”的方式，由嘎查根据本地区实际情况确定产业项目、实施户数、建设规模、申请资金额度等内容，并按程序进行公示；镇对嘎查上报的庭院经济实施情况进行审核 ，审核合格后形成方案报旗乡村振兴局汇总、审核。</w:t>
      </w:r>
    </w:p>
    <w:p w14:paraId="62DE8BF4">
      <w:pPr>
        <w:pageBreakBefore w:val="0"/>
        <w:kinsoku/>
        <w:wordWrap/>
        <w:overflowPunct/>
        <w:topLinePunct w:val="0"/>
        <w:autoSpaceDN/>
        <w:bidi w:val="0"/>
        <w:adjustRightInd w:val="0"/>
        <w:snapToGrid w:val="0"/>
        <w:spacing w:line="600" w:lineRule="exact"/>
        <w:ind w:right="0" w:firstLine="643" w:firstLineChars="200"/>
        <w:jc w:val="both"/>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（七）项目时间进度安排</w:t>
      </w:r>
    </w:p>
    <w:p w14:paraId="2D1684E0">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u w:val="none"/>
          <w:lang w:val="en-US" w:eastAsia="zh-CN"/>
        </w:rPr>
        <w:t>项目时间进度安排：</w:t>
      </w:r>
      <w:r>
        <w:rPr>
          <w:rFonts w:hint="eastAsia" w:ascii="仿宋" w:hAnsi="仿宋" w:eastAsia="仿宋" w:cs="仿宋"/>
          <w:color w:val="auto"/>
          <w:sz w:val="32"/>
          <w:szCs w:val="32"/>
          <w:highlight w:val="none"/>
          <w:lang w:val="en-US" w:eastAsia="zh-CN"/>
        </w:rPr>
        <w:t>2026年4月至2026年10月</w:t>
      </w:r>
    </w:p>
    <w:p w14:paraId="3405E751">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1</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项目规划落实阶段：</w:t>
      </w:r>
      <w:r>
        <w:rPr>
          <w:rFonts w:hint="eastAsia" w:ascii="仿宋" w:hAnsi="仿宋" w:eastAsia="仿宋" w:cs="仿宋"/>
          <w:b w:val="0"/>
          <w:bCs w:val="0"/>
          <w:color w:val="auto"/>
          <w:sz w:val="32"/>
          <w:szCs w:val="32"/>
          <w:highlight w:val="none"/>
          <w:lang w:val="en-US" w:eastAsia="zh-CN"/>
        </w:rPr>
        <w:t>2026年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p>
    <w:p w14:paraId="45C396A5">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2</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项目实施阶段:</w:t>
      </w:r>
      <w:r>
        <w:rPr>
          <w:rFonts w:hint="eastAsia" w:ascii="仿宋" w:hAnsi="仿宋" w:eastAsia="仿宋" w:cs="仿宋"/>
          <w:b w:val="0"/>
          <w:bCs w:val="0"/>
          <w:color w:val="auto"/>
          <w:sz w:val="32"/>
          <w:szCs w:val="32"/>
          <w:highlight w:val="none"/>
          <w:lang w:val="en-US" w:eastAsia="zh-CN"/>
        </w:rPr>
        <w:t>2026年</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p>
    <w:p w14:paraId="5A290F26">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3</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项目自查、验收阶段</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sz w:val="32"/>
          <w:szCs w:val="32"/>
          <w:highlight w:val="none"/>
          <w:lang w:val="en-US" w:eastAsia="zh-CN"/>
        </w:rPr>
        <w:t>2026年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p>
    <w:p w14:paraId="337998A8">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4</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项目补贴资金拨付：</w:t>
      </w:r>
      <w:r>
        <w:rPr>
          <w:rFonts w:hint="eastAsia" w:ascii="仿宋" w:hAnsi="仿宋" w:eastAsia="仿宋" w:cs="仿宋"/>
          <w:b w:val="0"/>
          <w:bCs w:val="0"/>
          <w:color w:val="auto"/>
          <w:sz w:val="32"/>
          <w:szCs w:val="32"/>
          <w:highlight w:val="none"/>
          <w:lang w:val="en-US" w:eastAsia="zh-CN"/>
        </w:rPr>
        <w:t>2026年</w:t>
      </w:r>
      <w:r>
        <w:rPr>
          <w:rFonts w:hint="eastAsia" w:ascii="仿宋" w:hAnsi="仿宋" w:eastAsia="仿宋" w:cs="仿宋"/>
          <w:color w:val="auto"/>
          <w:sz w:val="32"/>
          <w:szCs w:val="32"/>
          <w:highlight w:val="none"/>
          <w:lang w:val="en-US" w:eastAsia="zh-CN"/>
        </w:rPr>
        <w:t>7-10</w:t>
      </w:r>
      <w:r>
        <w:rPr>
          <w:rFonts w:hint="eastAsia" w:ascii="仿宋" w:hAnsi="仿宋" w:eastAsia="仿宋" w:cs="仿宋"/>
          <w:color w:val="auto"/>
          <w:sz w:val="32"/>
          <w:szCs w:val="32"/>
          <w:highlight w:val="none"/>
        </w:rPr>
        <w:t>月</w:t>
      </w:r>
    </w:p>
    <w:p w14:paraId="3D90D190">
      <w:pPr>
        <w:pageBreakBefore w:val="0"/>
        <w:kinsoku/>
        <w:wordWrap/>
        <w:overflowPunct/>
        <w:topLinePunct w:val="0"/>
        <w:autoSpaceDN/>
        <w:bidi w:val="0"/>
        <w:adjustRightInd w:val="0"/>
        <w:snapToGrid w:val="0"/>
        <w:spacing w:line="600" w:lineRule="exact"/>
        <w:ind w:right="0" w:firstLine="643" w:firstLineChars="200"/>
        <w:jc w:val="both"/>
        <w:textAlignment w:val="auto"/>
        <w:rPr>
          <w:rFonts w:hint="default" w:ascii="仿宋_GB2312" w:hAnsi="仿宋_GB2312" w:eastAsia="仿宋_GB2312" w:cs="仿宋_GB2312"/>
          <w:color w:val="auto"/>
          <w:spacing w:val="0"/>
          <w:kern w:val="2"/>
          <w:sz w:val="32"/>
          <w:szCs w:val="32"/>
          <w:highlight w:val="none"/>
          <w:lang w:val="en-US" w:eastAsia="zh-CN" w:bidi="ar-SA"/>
        </w:rPr>
      </w:pPr>
      <w:r>
        <w:rPr>
          <w:rFonts w:hint="eastAsia" w:ascii="仿宋" w:hAnsi="仿宋" w:eastAsia="仿宋" w:cs="仿宋"/>
          <w:b/>
          <w:bCs/>
          <w:color w:val="auto"/>
          <w:sz w:val="32"/>
          <w:szCs w:val="32"/>
          <w:highlight w:val="none"/>
          <w:u w:val="none"/>
          <w:lang w:val="en-US" w:eastAsia="zh-CN"/>
        </w:rPr>
        <w:t>（八）项目负责人及电话：</w:t>
      </w:r>
      <w:r>
        <w:rPr>
          <w:rFonts w:hint="eastAsia" w:ascii="仿宋" w:hAnsi="仿宋" w:eastAsia="仿宋" w:cs="仿宋"/>
          <w:color w:val="auto"/>
          <w:sz w:val="32"/>
          <w:szCs w:val="32"/>
          <w:highlight w:val="none"/>
          <w:lang w:val="en-US" w:eastAsia="zh-CN"/>
        </w:rPr>
        <w:t>张曙光  15</w:t>
      </w:r>
      <w:bookmarkEnd w:id="0"/>
      <w:r>
        <w:rPr>
          <w:rFonts w:hint="eastAsia" w:ascii="仿宋" w:hAnsi="仿宋" w:eastAsia="仿宋" w:cs="仿宋"/>
          <w:color w:val="auto"/>
          <w:sz w:val="32"/>
          <w:szCs w:val="32"/>
          <w:highlight w:val="none"/>
          <w:lang w:val="en-US" w:eastAsia="zh-CN"/>
        </w:rPr>
        <w:t>004806815</w:t>
      </w:r>
    </w:p>
    <w:p w14:paraId="6B202011">
      <w:pPr>
        <w:pStyle w:val="16"/>
        <w:pageBreakBefore w:val="0"/>
        <w:numPr>
          <w:ilvl w:val="0"/>
          <w:numId w:val="0"/>
        </w:numPr>
        <w:kinsoku/>
        <w:wordWrap/>
        <w:overflowPunct/>
        <w:topLinePunct w:val="0"/>
        <w:autoSpaceDN/>
        <w:bidi w:val="0"/>
        <w:adjustRightInd w:val="0"/>
        <w:snapToGrid w:val="0"/>
        <w:spacing w:before="0" w:after="0" w:line="600" w:lineRule="exact"/>
        <w:ind w:left="0" w:leftChars="0" w:right="0" w:firstLine="643" w:firstLineChars="200"/>
        <w:jc w:val="both"/>
        <w:textAlignment w:val="auto"/>
        <w:outlineLvl w:val="9"/>
        <w:rPr>
          <w:rFonts w:hint="eastAsia" w:cs="Times New Roman"/>
          <w:color w:val="auto"/>
          <w:highlight w:val="none"/>
          <w:lang w:val="en-US" w:eastAsia="zh-CN"/>
        </w:rPr>
      </w:pPr>
      <w:bookmarkStart w:id="2" w:name="_Toc57185099"/>
      <w:r>
        <w:rPr>
          <w:rFonts w:hint="eastAsia" w:cs="Times New Roman"/>
          <w:color w:val="auto"/>
          <w:highlight w:val="none"/>
          <w:lang w:val="en-US" w:eastAsia="zh-CN"/>
        </w:rPr>
        <w:t xml:space="preserve"> </w:t>
      </w:r>
      <w:r>
        <w:rPr>
          <w:rFonts w:hint="eastAsia" w:cs="Times New Roman"/>
          <w:b/>
          <w:bCs/>
          <w:color w:val="auto"/>
          <w:spacing w:val="0"/>
          <w:kern w:val="2"/>
          <w:sz w:val="32"/>
          <w:szCs w:val="32"/>
          <w:highlight w:val="none"/>
          <w:lang w:val="en-US" w:eastAsia="zh-CN" w:bidi="ar-SA"/>
        </w:rPr>
        <w:t>三</w:t>
      </w:r>
      <w:r>
        <w:rPr>
          <w:rFonts w:hint="eastAsia" w:ascii="等线 Light" w:hAnsi="等线 Light" w:cs="Times New Roman" w:eastAsiaTheme="minorEastAsia"/>
          <w:b/>
          <w:bCs/>
          <w:color w:val="auto"/>
          <w:spacing w:val="0"/>
          <w:kern w:val="2"/>
          <w:sz w:val="32"/>
          <w:szCs w:val="32"/>
          <w:highlight w:val="none"/>
          <w:lang w:val="en-US" w:eastAsia="zh-CN" w:bidi="ar-SA"/>
        </w:rPr>
        <w:t>、</w:t>
      </w:r>
      <w:r>
        <w:rPr>
          <w:rFonts w:hint="eastAsia" w:cs="Times New Roman"/>
          <w:color w:val="auto"/>
          <w:highlight w:val="none"/>
          <w:lang w:val="en-US" w:eastAsia="zh-CN"/>
        </w:rPr>
        <w:t xml:space="preserve">效益分析 </w:t>
      </w:r>
    </w:p>
    <w:p w14:paraId="6276663A">
      <w:pPr>
        <w:pStyle w:val="16"/>
        <w:pageBreakBefore w:val="0"/>
        <w:numPr>
          <w:ilvl w:val="0"/>
          <w:numId w:val="0"/>
        </w:numPr>
        <w:kinsoku/>
        <w:wordWrap/>
        <w:overflowPunct/>
        <w:topLinePunct w:val="0"/>
        <w:autoSpaceDN/>
        <w:bidi w:val="0"/>
        <w:adjustRightInd w:val="0"/>
        <w:snapToGrid w:val="0"/>
        <w:spacing w:before="0" w:after="0" w:line="600" w:lineRule="exact"/>
        <w:ind w:left="0" w:leftChars="0" w:right="0" w:firstLine="643" w:firstLineChars="200"/>
        <w:jc w:val="both"/>
        <w:textAlignment w:val="auto"/>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（一）经济效益</w:t>
      </w:r>
    </w:p>
    <w:p w14:paraId="55BC1DB0">
      <w:pPr>
        <w:pStyle w:val="6"/>
        <w:pageBreakBefore w:val="0"/>
        <w:kinsoku/>
        <w:wordWrap/>
        <w:overflowPunct/>
        <w:topLinePunct w:val="0"/>
        <w:autoSpaceDN/>
        <w:bidi w:val="0"/>
        <w:adjustRightInd w:val="0"/>
        <w:snapToGrid w:val="0"/>
        <w:spacing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通过庭院经济项目的实施，拓宽贫困农牧民增收渠道，利用房前屋后、前庭后院、空闲场地，宜种则种、宜养则养，促进农牧民增收，激发自我发展能力，切实提高贫困人口获得感。该项目的实施预计带动每户牧民平均增收2000元。 </w:t>
      </w:r>
    </w:p>
    <w:p w14:paraId="129FF270">
      <w:pPr>
        <w:pStyle w:val="6"/>
        <w:pageBreakBefore w:val="0"/>
        <w:kinsoku/>
        <w:wordWrap/>
        <w:overflowPunct/>
        <w:topLinePunct w:val="0"/>
        <w:autoSpaceDN/>
        <w:bidi w:val="0"/>
        <w:adjustRightInd w:val="0"/>
        <w:snapToGrid w:val="0"/>
        <w:spacing w:line="600" w:lineRule="exact"/>
        <w:ind w:left="0" w:leftChars="0" w:right="0" w:firstLine="643" w:firstLineChars="200"/>
        <w:jc w:val="both"/>
        <w:textAlignment w:val="auto"/>
        <w:outlineLvl w:val="9"/>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（二）社会效益</w:t>
      </w:r>
    </w:p>
    <w:p w14:paraId="6B69C85A">
      <w:pPr>
        <w:pageBreakBefore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通过庭院经济项目的实施，充分发挥产业指导员作用，对庭院经济种植技术进行培训指导，并利用媒体平台，及时提供相关产品市场信息，拓宽庭院经济产品销售渠道，促进农牧民增收致富。本项目预计能够带动巴达尔胡镇11个嘎查，54户产业增收，其中包括15户监测户和39户脱贫户。</w:t>
      </w:r>
    </w:p>
    <w:p w14:paraId="059C683E">
      <w:pPr>
        <w:pageBreakBefore w:val="0"/>
        <w:kinsoku/>
        <w:wordWrap/>
        <w:overflowPunct/>
        <w:topLinePunct w:val="0"/>
        <w:autoSpaceDE/>
        <w:autoSpaceDN/>
        <w:bidi w:val="0"/>
        <w:adjustRightInd w:val="0"/>
        <w:snapToGrid w:val="0"/>
        <w:spacing w:line="600" w:lineRule="exact"/>
        <w:ind w:left="0" w:leftChars="0" w:right="0" w:firstLine="643" w:firstLineChars="200"/>
        <w:jc w:val="both"/>
        <w:textAlignment w:val="auto"/>
        <w:rPr>
          <w:rFonts w:hint="eastAsia" w:ascii="等线 Light" w:hAnsi="等线 Light" w:cs="Times New Roman" w:eastAsiaTheme="minorEastAsia"/>
          <w:b/>
          <w:bCs/>
          <w:color w:val="auto"/>
          <w:spacing w:val="0"/>
          <w:kern w:val="2"/>
          <w:sz w:val="32"/>
          <w:szCs w:val="32"/>
          <w:highlight w:val="none"/>
          <w:lang w:val="en-US" w:eastAsia="zh-CN" w:bidi="ar-SA"/>
        </w:rPr>
      </w:pPr>
      <w:r>
        <w:rPr>
          <w:rFonts w:hint="eastAsia" w:cs="Times New Roman"/>
          <w:b/>
          <w:bCs/>
          <w:color w:val="auto"/>
          <w:spacing w:val="0"/>
          <w:kern w:val="2"/>
          <w:sz w:val="32"/>
          <w:szCs w:val="32"/>
          <w:highlight w:val="none"/>
          <w:lang w:val="en-US" w:eastAsia="zh-CN" w:bidi="ar-SA"/>
        </w:rPr>
        <w:t>四、</w:t>
      </w:r>
      <w:r>
        <w:rPr>
          <w:rFonts w:hint="eastAsia" w:ascii="等线 Light" w:hAnsi="等线 Light" w:cs="Times New Roman" w:eastAsiaTheme="minorEastAsia"/>
          <w:b/>
          <w:bCs/>
          <w:color w:val="auto"/>
          <w:spacing w:val="0"/>
          <w:kern w:val="2"/>
          <w:sz w:val="32"/>
          <w:szCs w:val="32"/>
          <w:highlight w:val="none"/>
          <w:lang w:val="en-US" w:eastAsia="zh-CN" w:bidi="ar-SA"/>
        </w:rPr>
        <w:t>资金管理</w:t>
      </w:r>
    </w:p>
    <w:p w14:paraId="752BF4D6">
      <w:pPr>
        <w:pStyle w:val="16"/>
        <w:pageBreakBefore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本项目实施严格按照《内蒙古自治区财政衔接推进乡村振兴补助资金管理办法》（内财农规〔2021〕8号)和预算管理的有关规定执行。具体内容包括：</w:t>
      </w:r>
    </w:p>
    <w:p w14:paraId="7D1C19D4">
      <w:pPr>
        <w:pStyle w:val="2"/>
        <w:pageBreakBefore w:val="0"/>
        <w:kinsoku/>
        <w:wordWrap/>
        <w:overflowPunct/>
        <w:topLinePunct w:val="0"/>
        <w:autoSpaceDE w:val="0"/>
        <w:autoSpaceDN/>
        <w:bidi w:val="0"/>
        <w:adjustRightInd w:val="0"/>
        <w:snapToGrid w:val="0"/>
        <w:spacing w:line="600" w:lineRule="exact"/>
        <w:ind w:left="0" w:leftChars="0" w:right="0" w:firstLine="601" w:firstLineChars="0"/>
        <w:jc w:val="both"/>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（一）专账核算</w:t>
      </w:r>
    </w:p>
    <w:p w14:paraId="076C217C">
      <w:pPr>
        <w:pageBreakBefore w:val="0"/>
        <w:kinsoku/>
        <w:wordWrap/>
        <w:overflowPunct/>
        <w:topLinePunct w:val="0"/>
        <w:autoSpaceDE w:val="0"/>
        <w:autoSpaceDN/>
        <w:bidi w:val="0"/>
        <w:adjustRightInd w:val="0"/>
        <w:snapToGrid w:val="0"/>
        <w:spacing w:line="600" w:lineRule="exact"/>
        <w:ind w:left="0" w:leftChars="0" w:right="0" w:firstLine="601" w:firstLineChars="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项目资金实行专人管理，专账核算并建立完整的档案资料。</w:t>
      </w:r>
    </w:p>
    <w:p w14:paraId="04B535B9">
      <w:pPr>
        <w:pStyle w:val="2"/>
        <w:pageBreakBefore w:val="0"/>
        <w:kinsoku/>
        <w:wordWrap/>
        <w:overflowPunct/>
        <w:topLinePunct w:val="0"/>
        <w:autoSpaceDE w:val="0"/>
        <w:autoSpaceDN/>
        <w:bidi w:val="0"/>
        <w:adjustRightInd w:val="0"/>
        <w:snapToGrid w:val="0"/>
        <w:spacing w:line="600" w:lineRule="exact"/>
        <w:ind w:left="0" w:leftChars="0" w:right="0" w:firstLine="601" w:firstLineChars="0"/>
        <w:jc w:val="both"/>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（二）专款专用</w:t>
      </w:r>
    </w:p>
    <w:p w14:paraId="6F8BECF1">
      <w:pPr>
        <w:pageBreakBefore w:val="0"/>
        <w:kinsoku/>
        <w:wordWrap/>
        <w:overflowPunct/>
        <w:topLinePunct w:val="0"/>
        <w:autoSpaceDE w:val="0"/>
        <w:autoSpaceDN/>
        <w:bidi w:val="0"/>
        <w:adjustRightInd w:val="0"/>
        <w:snapToGrid w:val="0"/>
        <w:spacing w:line="600" w:lineRule="exact"/>
        <w:ind w:left="0" w:leftChars="0" w:right="0" w:firstLine="601" w:firstLineChars="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项目资金专款专用，不得用于单位基本支出、交通工具及通讯设备、修建楼堂馆所、各种奖金津贴和福利补助、偿还债务和垫资等与巩固拓展脱贫攻坚成果和推进乡村振兴无关的支出。</w:t>
      </w:r>
    </w:p>
    <w:p w14:paraId="4F8311A8">
      <w:pPr>
        <w:keepNext w:val="0"/>
        <w:keepLines w:val="0"/>
        <w:pageBreakBefore w:val="0"/>
        <w:widowControl w:val="0"/>
        <w:kinsoku/>
        <w:wordWrap/>
        <w:overflowPunct/>
        <w:topLinePunct w:val="0"/>
        <w:autoSpaceDE/>
        <w:autoSpaceDN/>
        <w:bidi w:val="0"/>
        <w:adjustRightInd w:val="0"/>
        <w:snapToGrid w:val="0"/>
        <w:spacing w:line="600" w:lineRule="exact"/>
        <w:ind w:right="0" w:firstLine="643"/>
        <w:jc w:val="both"/>
        <w:textAlignment w:val="auto"/>
        <w:outlineLvl w:val="9"/>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庭院经济项目经各嘎查逐户实地验收并出具验收报告，由（镇人民政府按照项目实施的品种、规模、补贴额度、管理机制等方面组织抽验后，根据抽验情况兑现补贴。</w:t>
      </w:r>
    </w:p>
    <w:p w14:paraId="57C45764">
      <w:pPr>
        <w:pStyle w:val="16"/>
        <w:keepNext w:val="0"/>
        <w:keepLines w:val="0"/>
        <w:pageBreakBefore w:val="0"/>
        <w:widowControl w:val="0"/>
        <w:numPr>
          <w:ilvl w:val="-1"/>
          <w:numId w:val="0"/>
        </w:numPr>
        <w:kinsoku/>
        <w:wordWrap/>
        <w:overflowPunct/>
        <w:topLinePunct w:val="0"/>
        <w:autoSpaceDE/>
        <w:autoSpaceDN/>
        <w:bidi w:val="0"/>
        <w:adjustRightInd w:val="0"/>
        <w:snapToGrid w:val="0"/>
        <w:spacing w:before="0" w:after="0" w:line="600" w:lineRule="exact"/>
        <w:ind w:right="0"/>
        <w:jc w:val="both"/>
        <w:textAlignment w:val="auto"/>
        <w:rPr>
          <w:rFonts w:hint="eastAsia" w:cs="Times New Roman"/>
          <w:color w:val="auto"/>
          <w:highlight w:val="none"/>
          <w:lang w:val="en-US" w:eastAsia="zh-CN"/>
        </w:rPr>
      </w:pPr>
      <w:r>
        <w:rPr>
          <w:rFonts w:hint="eastAsia" w:cs="Times New Roman"/>
          <w:color w:val="auto"/>
          <w:highlight w:val="none"/>
          <w:lang w:val="en-US" w:eastAsia="zh-CN"/>
        </w:rPr>
        <w:t xml:space="preserve">   五、项目绩效目标</w:t>
      </w:r>
    </w:p>
    <w:p w14:paraId="12E320B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firstLine="643" w:firstLineChars="200"/>
        <w:jc w:val="both"/>
        <w:textAlignment w:val="auto"/>
        <w:outlineLvl w:val="9"/>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（一）项目总体目标</w:t>
      </w:r>
    </w:p>
    <w:p w14:paraId="368C962F">
      <w:pPr>
        <w:pageBreakBefore w:val="0"/>
        <w:kinsoku/>
        <w:wordWrap/>
        <w:overflowPunct/>
        <w:topLinePunct w:val="0"/>
        <w:autoSpaceDN/>
        <w:bidi w:val="0"/>
        <w:adjustRightInd w:val="0"/>
        <w:snapToGrid w:val="0"/>
        <w:spacing w:line="600" w:lineRule="exact"/>
        <w:ind w:left="0" w:leftChars="0" w:right="0"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1、项目总体目标</w:t>
      </w:r>
    </w:p>
    <w:p w14:paraId="4EA43F5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巴达尔胡镇</w:t>
      </w:r>
      <w:r>
        <w:rPr>
          <w:rFonts w:hint="eastAsia" w:ascii="仿宋" w:hAnsi="仿宋" w:eastAsia="仿宋" w:cs="仿宋"/>
          <w:color w:val="auto"/>
          <w:kern w:val="2"/>
          <w:sz w:val="32"/>
          <w:szCs w:val="32"/>
          <w:highlight w:val="none"/>
          <w:u w:val="none"/>
          <w:lang w:val="en-US" w:eastAsia="zh-CN" w:bidi="ar-SA"/>
        </w:rPr>
        <w:t>有劳动能力的脱贫户和监测户</w:t>
      </w:r>
      <w:r>
        <w:rPr>
          <w:rFonts w:hint="eastAsia" w:ascii="仿宋_GB2312" w:hAnsi="仿宋_GB2312" w:eastAsia="仿宋_GB2312" w:cs="仿宋_GB2312"/>
          <w:color w:val="auto"/>
          <w:sz w:val="32"/>
          <w:szCs w:val="32"/>
          <w:highlight w:val="none"/>
          <w:lang w:eastAsia="zh-CN"/>
        </w:rPr>
        <w:t>庭院经济发展项目户1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户，覆盖5个嘎查，主要计划种植苍术</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亩，涉及户数</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lang w:val="en-US" w:eastAsia="zh-CN"/>
        </w:rPr>
        <w:t>甜玉米28</w:t>
      </w:r>
      <w:r>
        <w:rPr>
          <w:rFonts w:hint="eastAsia" w:ascii="仿宋_GB2312" w:hAnsi="仿宋_GB2312" w:eastAsia="仿宋_GB2312" w:cs="仿宋_GB2312"/>
          <w:color w:val="auto"/>
          <w:sz w:val="32"/>
          <w:szCs w:val="32"/>
          <w:highlight w:val="none"/>
          <w:lang w:eastAsia="zh-CN"/>
        </w:rPr>
        <w:t>亩，涉及</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户；果树1</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棵，涉及1户；</w:t>
      </w:r>
      <w:r>
        <w:rPr>
          <w:rFonts w:hint="eastAsia" w:ascii="仿宋_GB2312" w:hAnsi="仿宋_GB2312" w:eastAsia="仿宋_GB2312" w:cs="仿宋_GB2312"/>
          <w:color w:val="auto"/>
          <w:sz w:val="32"/>
          <w:szCs w:val="32"/>
          <w:highlight w:val="none"/>
          <w:lang w:val="en-US" w:eastAsia="zh-CN"/>
        </w:rPr>
        <w:t>养殖大鹅220只，涉及2户；生猪20头，涉及1户；发展小作坊1个，涉及1户</w:t>
      </w:r>
      <w:r>
        <w:rPr>
          <w:rFonts w:hint="eastAsia" w:ascii="仿宋_GB2312" w:hAnsi="仿宋_GB2312" w:eastAsia="仿宋_GB2312" w:cs="仿宋_GB2312"/>
          <w:color w:val="auto"/>
          <w:sz w:val="32"/>
          <w:szCs w:val="32"/>
          <w:highlight w:val="none"/>
          <w:lang w:eastAsia="zh-CN"/>
        </w:rPr>
        <w:t>。</w:t>
      </w:r>
    </w:p>
    <w:p w14:paraId="2DAF042C">
      <w:pPr>
        <w:pageBreakBefore w:val="0"/>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巴达尔胡镇</w:t>
      </w:r>
      <w:r>
        <w:rPr>
          <w:rFonts w:hint="eastAsia" w:ascii="仿宋" w:hAnsi="仿宋" w:eastAsia="仿宋" w:cs="仿宋"/>
          <w:color w:val="auto"/>
          <w:kern w:val="2"/>
          <w:sz w:val="32"/>
          <w:szCs w:val="32"/>
          <w:highlight w:val="none"/>
          <w:u w:val="none"/>
          <w:lang w:val="en-US" w:eastAsia="zh-CN" w:bidi="ar-SA"/>
        </w:rPr>
        <w:t>整户无劳动能力的脱贫户、监测户</w:t>
      </w:r>
      <w:r>
        <w:rPr>
          <w:rFonts w:hint="eastAsia" w:ascii="仿宋_GB2312" w:hAnsi="仿宋_GB2312" w:eastAsia="仿宋_GB2312" w:cs="仿宋_GB2312"/>
          <w:color w:val="auto"/>
          <w:sz w:val="32"/>
          <w:szCs w:val="32"/>
          <w:highlight w:val="none"/>
          <w:lang w:eastAsia="zh-CN"/>
        </w:rPr>
        <w:t>庭院经济发展项目户</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lang w:eastAsia="zh-CN"/>
        </w:rPr>
        <w:t>户，覆盖</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个嘎查，主要计划种植</w:t>
      </w:r>
      <w:r>
        <w:rPr>
          <w:rFonts w:hint="eastAsia" w:ascii="仿宋_GB2312" w:hAnsi="仿宋_GB2312" w:eastAsia="仿宋_GB2312" w:cs="仿宋_GB2312"/>
          <w:color w:val="auto"/>
          <w:sz w:val="32"/>
          <w:szCs w:val="32"/>
          <w:highlight w:val="none"/>
          <w:lang w:val="en-US" w:eastAsia="zh-CN"/>
        </w:rPr>
        <w:t>蔬菜24.3</w:t>
      </w:r>
      <w:r>
        <w:rPr>
          <w:rFonts w:hint="eastAsia" w:ascii="仿宋_GB2312" w:hAnsi="仿宋_GB2312" w:eastAsia="仿宋_GB2312" w:cs="仿宋_GB2312"/>
          <w:color w:val="auto"/>
          <w:sz w:val="32"/>
          <w:szCs w:val="32"/>
          <w:highlight w:val="none"/>
          <w:lang w:eastAsia="zh-CN"/>
        </w:rPr>
        <w:t>亩，涉及户数</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color w:val="auto"/>
          <w:sz w:val="32"/>
          <w:szCs w:val="32"/>
          <w:highlight w:val="none"/>
          <w:lang w:val="en-US" w:eastAsia="zh-CN"/>
        </w:rPr>
        <w:t>玉米15</w:t>
      </w:r>
      <w:r>
        <w:rPr>
          <w:rFonts w:hint="eastAsia" w:ascii="仿宋_GB2312" w:hAnsi="仿宋_GB2312" w:eastAsia="仿宋_GB2312" w:cs="仿宋_GB2312"/>
          <w:color w:val="auto"/>
          <w:sz w:val="32"/>
          <w:szCs w:val="32"/>
          <w:highlight w:val="none"/>
          <w:lang w:eastAsia="zh-CN"/>
        </w:rPr>
        <w:t>亩，涉及</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户。</w:t>
      </w:r>
      <w:r>
        <w:rPr>
          <w:rFonts w:hint="eastAsia" w:ascii="仿宋_GB2312" w:hAnsi="仿宋_GB2312" w:eastAsia="仿宋_GB2312" w:cs="仿宋_GB2312"/>
          <w:b w:val="0"/>
          <w:bCs w:val="0"/>
          <w:color w:val="auto"/>
          <w:sz w:val="32"/>
          <w:szCs w:val="32"/>
          <w:highlight w:val="none"/>
          <w:lang w:val="en-US" w:eastAsia="zh-CN"/>
        </w:rPr>
        <w:t>计划于2026年4月份开始种植，7月份进行初步验收。</w:t>
      </w:r>
    </w:p>
    <w:p w14:paraId="01F12ACF">
      <w:pPr>
        <w:pageBreakBefore w:val="0"/>
        <w:kinsoku/>
        <w:wordWrap/>
        <w:overflowPunct/>
        <w:topLinePunct w:val="0"/>
        <w:autoSpaceDE w:val="0"/>
        <w:autoSpaceDN/>
        <w:bidi w:val="0"/>
        <w:adjustRightInd w:val="0"/>
        <w:snapToGrid w:val="0"/>
        <w:spacing w:line="600" w:lineRule="exact"/>
        <w:ind w:left="0" w:leftChars="0" w:right="0" w:firstLine="601"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通过实施该项目，农牧户利用自家院落占用的土地资源，发展特色产业，降低生产成本，提高资源利用效率，多渠道增加农牧户的经济收入。</w:t>
      </w:r>
    </w:p>
    <w:p w14:paraId="079EF8F3">
      <w:pPr>
        <w:pageBreakBefore w:val="0"/>
        <w:kinsoku/>
        <w:wordWrap/>
        <w:overflowPunct/>
        <w:topLinePunct w:val="0"/>
        <w:autoSpaceDN/>
        <w:bidi w:val="0"/>
        <w:adjustRightInd w:val="0"/>
        <w:snapToGrid w:val="0"/>
        <w:spacing w:line="600" w:lineRule="exact"/>
        <w:ind w:left="0" w:leftChars="0" w:right="0"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2、项目年度目标</w:t>
      </w:r>
    </w:p>
    <w:p w14:paraId="009FDC8B">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（一）数量指标：</w:t>
      </w:r>
    </w:p>
    <w:p w14:paraId="220BE092">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1.计划种植苍术亩数≥20亩</w:t>
      </w:r>
    </w:p>
    <w:p w14:paraId="44B4A8E6">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2.计划栽植果树棵数≥120棵</w:t>
      </w:r>
    </w:p>
    <w:p w14:paraId="3C6475C4">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3.计划种植甜玉米亩数≥28亩</w:t>
      </w:r>
    </w:p>
    <w:p w14:paraId="4DFDDF31">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4.计划养殖大鹅只数≥220只</w:t>
      </w:r>
    </w:p>
    <w:p w14:paraId="37F02557">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5.计划养殖生猪头数≥20头</w:t>
      </w:r>
    </w:p>
    <w:p w14:paraId="677233CA">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6.计划发展小作坊个数≥1个</w:t>
      </w:r>
    </w:p>
    <w:p w14:paraId="7FB91481">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7.计划种植蔬菜亩数≥24.3亩</w:t>
      </w:r>
    </w:p>
    <w:p w14:paraId="078DE02F">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8.计划种植玉米亩数≥15亩</w:t>
      </w:r>
    </w:p>
    <w:p w14:paraId="4A3C04F7">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（二）质量指标</w:t>
      </w:r>
    </w:p>
    <w:p w14:paraId="1EA4474C">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1.种植作物成活率（%）≥80</w:t>
      </w:r>
    </w:p>
    <w:p w14:paraId="6C7A4B18">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2.栽植作物成活率（%）≥80</w:t>
      </w:r>
    </w:p>
    <w:p w14:paraId="6421687D">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3.补助资金发放准确率（%）=100</w:t>
      </w:r>
    </w:p>
    <w:p w14:paraId="7C824C0E">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4.资金使用合规率（%）=100</w:t>
      </w:r>
    </w:p>
    <w:p w14:paraId="065A1A48">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（三）时效指标</w:t>
      </w:r>
    </w:p>
    <w:p w14:paraId="7F069333">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1.庭院经济项目完成率（%）=2026年4-7月</w:t>
      </w:r>
    </w:p>
    <w:p w14:paraId="22848FDC">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2.补助资金拨付时间财政拨款两个工作日内日</w:t>
      </w:r>
      <w:bookmarkStart w:id="14" w:name="_GoBack"/>
      <w:bookmarkEnd w:id="14"/>
    </w:p>
    <w:p w14:paraId="1CDCFA88">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（四）成本指标</w:t>
      </w:r>
    </w:p>
    <w:p w14:paraId="45347FED">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1.庭院经济补助总额≤6.835万元</w:t>
      </w:r>
    </w:p>
    <w:p w14:paraId="79E2240E">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w:t>
      </w:r>
      <w:r>
        <w:rPr>
          <w:rFonts w:hint="default" w:ascii="仿宋_GB2312" w:hAnsi="仿宋_GB2312" w:eastAsia="仿宋_GB2312" w:cs="仿宋_GB2312"/>
          <w:color w:val="auto"/>
          <w:spacing w:val="0"/>
          <w:sz w:val="32"/>
          <w:szCs w:val="32"/>
          <w:highlight w:val="none"/>
          <w:lang w:val="en-US" w:eastAsia="zh-CN"/>
        </w:rPr>
        <w:t>种植苍术补贴金额</w:t>
      </w:r>
      <w:r>
        <w:rPr>
          <w:rFonts w:hint="eastAsia" w:ascii="仿宋_GB2312" w:hAnsi="仿宋_GB2312" w:eastAsia="仿宋_GB2312" w:cs="仿宋_GB2312"/>
          <w:color w:val="auto"/>
          <w:spacing w:val="0"/>
          <w:sz w:val="32"/>
          <w:szCs w:val="32"/>
          <w:highlight w:val="none"/>
          <w:lang w:val="en-US" w:eastAsia="zh-CN"/>
        </w:rPr>
        <w:t>≤1.4万元</w:t>
      </w:r>
    </w:p>
    <w:p w14:paraId="3F5A9069">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w:t>
      </w:r>
      <w:r>
        <w:rPr>
          <w:rFonts w:hint="default" w:ascii="仿宋_GB2312" w:hAnsi="仿宋_GB2312" w:eastAsia="仿宋_GB2312" w:cs="仿宋_GB2312"/>
          <w:color w:val="auto"/>
          <w:spacing w:val="0"/>
          <w:sz w:val="32"/>
          <w:szCs w:val="32"/>
          <w:highlight w:val="none"/>
          <w:lang w:val="en-US" w:eastAsia="zh-CN"/>
        </w:rPr>
        <w:t>栽植果树补贴金额</w:t>
      </w:r>
      <w:r>
        <w:rPr>
          <w:rFonts w:hint="eastAsia" w:ascii="仿宋_GB2312" w:hAnsi="仿宋_GB2312" w:eastAsia="仿宋_GB2312" w:cs="仿宋_GB2312"/>
          <w:color w:val="auto"/>
          <w:spacing w:val="0"/>
          <w:sz w:val="32"/>
          <w:szCs w:val="32"/>
          <w:highlight w:val="none"/>
          <w:lang w:val="en-US" w:eastAsia="zh-CN"/>
        </w:rPr>
        <w:t>≤0.2万元</w:t>
      </w:r>
    </w:p>
    <w:p w14:paraId="5525CF62">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4.</w:t>
      </w:r>
      <w:r>
        <w:rPr>
          <w:rFonts w:hint="default" w:ascii="仿宋_GB2312" w:hAnsi="仿宋_GB2312" w:eastAsia="仿宋_GB2312" w:cs="仿宋_GB2312"/>
          <w:color w:val="auto"/>
          <w:spacing w:val="0"/>
          <w:sz w:val="32"/>
          <w:szCs w:val="32"/>
          <w:highlight w:val="none"/>
          <w:lang w:val="en-US" w:eastAsia="zh-CN"/>
        </w:rPr>
        <w:t>种植甜玉米补贴金额</w:t>
      </w:r>
      <w:r>
        <w:rPr>
          <w:rFonts w:hint="eastAsia" w:ascii="仿宋_GB2312" w:hAnsi="仿宋_GB2312" w:eastAsia="仿宋_GB2312" w:cs="仿宋_GB2312"/>
          <w:color w:val="auto"/>
          <w:spacing w:val="0"/>
          <w:sz w:val="32"/>
          <w:szCs w:val="32"/>
          <w:highlight w:val="none"/>
          <w:lang w:val="en-US" w:eastAsia="zh-CN"/>
        </w:rPr>
        <w:t>≤1.135万元</w:t>
      </w:r>
    </w:p>
    <w:p w14:paraId="377D2EA6">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5.</w:t>
      </w:r>
      <w:r>
        <w:rPr>
          <w:rFonts w:hint="default" w:ascii="仿宋_GB2312" w:hAnsi="仿宋_GB2312" w:eastAsia="仿宋_GB2312" w:cs="仿宋_GB2312"/>
          <w:color w:val="auto"/>
          <w:spacing w:val="0"/>
          <w:sz w:val="32"/>
          <w:szCs w:val="32"/>
          <w:highlight w:val="none"/>
          <w:lang w:val="en-US" w:eastAsia="zh-CN"/>
        </w:rPr>
        <w:t>养殖大鹅补贴金额</w:t>
      </w:r>
      <w:r>
        <w:rPr>
          <w:rFonts w:hint="eastAsia" w:ascii="仿宋_GB2312" w:hAnsi="仿宋_GB2312" w:eastAsia="仿宋_GB2312" w:cs="仿宋_GB2312"/>
          <w:color w:val="auto"/>
          <w:spacing w:val="0"/>
          <w:sz w:val="32"/>
          <w:szCs w:val="32"/>
          <w:highlight w:val="none"/>
          <w:lang w:val="en-US" w:eastAsia="zh-CN"/>
        </w:rPr>
        <w:t>≤0.38万元</w:t>
      </w:r>
    </w:p>
    <w:p w14:paraId="5DB52E2B">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6.</w:t>
      </w:r>
      <w:r>
        <w:rPr>
          <w:rFonts w:hint="default" w:ascii="仿宋_GB2312" w:hAnsi="仿宋_GB2312" w:eastAsia="仿宋_GB2312" w:cs="仿宋_GB2312"/>
          <w:color w:val="auto"/>
          <w:spacing w:val="0"/>
          <w:sz w:val="32"/>
          <w:szCs w:val="32"/>
          <w:highlight w:val="none"/>
          <w:lang w:val="en-US" w:eastAsia="zh-CN"/>
        </w:rPr>
        <w:t>养殖生猪补贴金额</w:t>
      </w:r>
      <w:r>
        <w:rPr>
          <w:rFonts w:hint="eastAsia" w:ascii="仿宋_GB2312" w:hAnsi="仿宋_GB2312" w:eastAsia="仿宋_GB2312" w:cs="仿宋_GB2312"/>
          <w:color w:val="auto"/>
          <w:spacing w:val="0"/>
          <w:sz w:val="32"/>
          <w:szCs w:val="32"/>
          <w:highlight w:val="none"/>
          <w:lang w:val="en-US" w:eastAsia="zh-CN"/>
        </w:rPr>
        <w:t>≤0.2万元</w:t>
      </w:r>
    </w:p>
    <w:p w14:paraId="343DB6FA">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7.</w:t>
      </w:r>
      <w:r>
        <w:rPr>
          <w:rFonts w:hint="default" w:ascii="仿宋_GB2312" w:hAnsi="仿宋_GB2312" w:eastAsia="仿宋_GB2312" w:cs="仿宋_GB2312"/>
          <w:color w:val="auto"/>
          <w:spacing w:val="0"/>
          <w:sz w:val="32"/>
          <w:szCs w:val="32"/>
          <w:highlight w:val="none"/>
          <w:lang w:val="en-US" w:eastAsia="zh-CN"/>
        </w:rPr>
        <w:t>发展小作坊补贴金额</w:t>
      </w:r>
      <w:r>
        <w:rPr>
          <w:rFonts w:hint="eastAsia" w:ascii="仿宋_GB2312" w:hAnsi="仿宋_GB2312" w:eastAsia="仿宋_GB2312" w:cs="仿宋_GB2312"/>
          <w:color w:val="auto"/>
          <w:spacing w:val="0"/>
          <w:sz w:val="32"/>
          <w:szCs w:val="32"/>
          <w:highlight w:val="none"/>
          <w:lang w:val="en-US" w:eastAsia="zh-CN"/>
        </w:rPr>
        <w:t>≤1万元</w:t>
      </w:r>
    </w:p>
    <w:p w14:paraId="129C9FD3">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8.</w:t>
      </w:r>
      <w:r>
        <w:rPr>
          <w:rFonts w:hint="default" w:ascii="仿宋_GB2312" w:hAnsi="仿宋_GB2312" w:eastAsia="仿宋_GB2312" w:cs="仿宋_GB2312"/>
          <w:color w:val="auto"/>
          <w:spacing w:val="0"/>
          <w:sz w:val="32"/>
          <w:szCs w:val="32"/>
          <w:highlight w:val="none"/>
          <w:lang w:val="en-US" w:eastAsia="zh-CN"/>
        </w:rPr>
        <w:t>种植蔬菜亩数补贴金额</w:t>
      </w:r>
      <w:r>
        <w:rPr>
          <w:rFonts w:hint="eastAsia" w:ascii="仿宋_GB2312" w:hAnsi="仿宋_GB2312" w:eastAsia="仿宋_GB2312" w:cs="仿宋_GB2312"/>
          <w:color w:val="auto"/>
          <w:spacing w:val="0"/>
          <w:sz w:val="32"/>
          <w:szCs w:val="32"/>
          <w:highlight w:val="none"/>
          <w:lang w:val="en-US" w:eastAsia="zh-CN"/>
        </w:rPr>
        <w:t>≤1.96万元</w:t>
      </w:r>
    </w:p>
    <w:p w14:paraId="09FA49B5">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9.</w:t>
      </w:r>
      <w:r>
        <w:rPr>
          <w:rFonts w:hint="default" w:ascii="仿宋_GB2312" w:hAnsi="仿宋_GB2312" w:eastAsia="仿宋_GB2312" w:cs="仿宋_GB2312"/>
          <w:color w:val="auto"/>
          <w:spacing w:val="0"/>
          <w:sz w:val="32"/>
          <w:szCs w:val="32"/>
          <w:highlight w:val="none"/>
          <w:lang w:val="en-US" w:eastAsia="zh-CN"/>
        </w:rPr>
        <w:t>种植玉米补贴金额</w:t>
      </w:r>
      <w:r>
        <w:rPr>
          <w:rFonts w:hint="eastAsia" w:ascii="仿宋_GB2312" w:hAnsi="仿宋_GB2312" w:eastAsia="仿宋_GB2312" w:cs="仿宋_GB2312"/>
          <w:color w:val="auto"/>
          <w:spacing w:val="0"/>
          <w:sz w:val="32"/>
          <w:szCs w:val="32"/>
          <w:highlight w:val="none"/>
          <w:lang w:val="en-US" w:eastAsia="zh-CN"/>
        </w:rPr>
        <w:t>≤0.56万元</w:t>
      </w:r>
    </w:p>
    <w:p w14:paraId="441C03CF">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（五）社会效益</w:t>
      </w:r>
    </w:p>
    <w:p w14:paraId="2EEEBD5E">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1.项目涉及嘎查村数量（个）≥11</w:t>
      </w:r>
    </w:p>
    <w:p w14:paraId="65E422C1">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2.受益监测户户数（户）≥15</w:t>
      </w:r>
    </w:p>
    <w:p w14:paraId="76D118EB">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3.受益脱贫户户数（户）≥39</w:t>
      </w:r>
    </w:p>
    <w:p w14:paraId="575C8EEE">
      <w:pPr>
        <w:pStyle w:val="2"/>
        <w:pageBreakBefore w:val="0"/>
        <w:kinsoku/>
        <w:wordWrap/>
        <w:overflowPunct/>
        <w:topLinePunct w:val="0"/>
        <w:autoSpaceDN/>
        <w:bidi w:val="0"/>
        <w:spacing w:line="60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4.拓宽农牧民增收渠道，提高自我发展能力 明显提高</w:t>
      </w:r>
    </w:p>
    <w:p w14:paraId="2ACC0714">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（六）经济效益指标</w:t>
      </w:r>
    </w:p>
    <w:p w14:paraId="49E54ACF">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1.户均增加收入（元/年）≥2000</w:t>
      </w:r>
    </w:p>
    <w:p w14:paraId="0FC9E535">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（七）可持续影响指标</w:t>
      </w:r>
    </w:p>
    <w:p w14:paraId="64B4DA5F">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1.后续管护期限（年）≥1年</w:t>
      </w:r>
    </w:p>
    <w:p w14:paraId="408FFD43">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2.后续管理制度健全、保障措施到位  健全</w:t>
      </w:r>
    </w:p>
    <w:p w14:paraId="31CA2B62">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（八）满意度指标</w:t>
      </w:r>
    </w:p>
    <w:p w14:paraId="721D0E29">
      <w:pPr>
        <w:keepNext w:val="0"/>
        <w:keepLines w:val="0"/>
        <w:pageBreakBefore w:val="0"/>
        <w:widowControl/>
        <w:kinsoku/>
        <w:wordWrap/>
        <w:overflowPunct/>
        <w:topLinePunct w:val="0"/>
        <w:autoSpaceDE w:val="0"/>
        <w:autoSpaceDN/>
        <w:bidi w:val="0"/>
        <w:adjustRightInd w:val="0"/>
        <w:snapToGrid w:val="0"/>
        <w:spacing w:line="600" w:lineRule="exact"/>
        <w:ind w:right="0" w:firstLine="601" w:firstLineChars="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受益农户满意度（%）≥95%</w:t>
      </w:r>
    </w:p>
    <w:p w14:paraId="5699E9B3">
      <w:pPr>
        <w:pStyle w:val="16"/>
        <w:keepNext w:val="0"/>
        <w:keepLines w:val="0"/>
        <w:pageBreakBefore w:val="0"/>
        <w:widowControl w:val="0"/>
        <w:numPr>
          <w:ilvl w:val="-1"/>
          <w:numId w:val="0"/>
        </w:numPr>
        <w:kinsoku/>
        <w:wordWrap/>
        <w:overflowPunct/>
        <w:topLinePunct w:val="0"/>
        <w:autoSpaceDE/>
        <w:autoSpaceDN/>
        <w:bidi w:val="0"/>
        <w:adjustRightInd w:val="0"/>
        <w:snapToGrid w:val="0"/>
        <w:spacing w:before="0" w:after="0" w:line="600" w:lineRule="exact"/>
        <w:ind w:right="0"/>
        <w:jc w:val="both"/>
        <w:textAlignment w:val="auto"/>
        <w:rPr>
          <w:rFonts w:hint="default"/>
          <w:color w:val="auto"/>
          <w:highlight w:val="none"/>
          <w:lang w:val="en-US" w:eastAsia="zh-CN"/>
        </w:rPr>
      </w:pPr>
      <w:r>
        <w:rPr>
          <w:rFonts w:hint="eastAsia" w:cs="Times New Roman"/>
          <w:color w:val="auto"/>
          <w:highlight w:val="none"/>
          <w:lang w:val="en-US" w:eastAsia="zh-CN"/>
        </w:rPr>
        <w:t xml:space="preserve">    六、利益联结机制</w:t>
      </w:r>
    </w:p>
    <w:p w14:paraId="4963F27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根据农户意愿，按照“统一规划、各具特色”原则，采取先建后补方式予以补贴，针对扶持项目按照投资额度实行差异化补助政策，覆盖54户，户均增收2000元。通过项目的实施，</w:t>
      </w:r>
      <w:r>
        <w:rPr>
          <w:rFonts w:hint="eastAsia" w:ascii="仿宋_GB2312" w:hAnsi="仿宋_GB2312" w:eastAsia="仿宋_GB2312" w:cs="仿宋_GB2312"/>
          <w:b w:val="0"/>
          <w:bCs w:val="0"/>
          <w:color w:val="auto"/>
          <w:sz w:val="32"/>
          <w:szCs w:val="32"/>
          <w:highlight w:val="none"/>
          <w:lang w:val="en-US" w:eastAsia="zh-CN"/>
        </w:rPr>
        <w:t>支持有意愿的农牧户发展庭院经济，</w:t>
      </w:r>
      <w:r>
        <w:rPr>
          <w:rFonts w:hint="eastAsia" w:ascii="仿宋_GB2312" w:hAnsi="仿宋_GB2312" w:eastAsia="仿宋_GB2312" w:cs="仿宋_GB2312"/>
          <w:b w:val="0"/>
          <w:bCs w:val="0"/>
          <w:color w:val="auto"/>
          <w:kern w:val="2"/>
          <w:sz w:val="32"/>
          <w:szCs w:val="32"/>
          <w:highlight w:val="none"/>
          <w:lang w:val="en-US" w:eastAsia="zh-CN"/>
        </w:rPr>
        <w:t>提高项目实施农牧户家庭收入，</w:t>
      </w:r>
      <w:r>
        <w:rPr>
          <w:rFonts w:hint="eastAsia" w:ascii="仿宋_GB2312" w:hAnsi="仿宋_GB2312" w:eastAsia="仿宋_GB2312" w:cs="仿宋_GB2312"/>
          <w:b w:val="0"/>
          <w:bCs w:val="0"/>
          <w:color w:val="auto"/>
          <w:sz w:val="32"/>
          <w:szCs w:val="32"/>
          <w:highlight w:val="none"/>
          <w:lang w:val="en-US" w:eastAsia="zh-CN"/>
        </w:rPr>
        <w:t>充分发挥该项目的示范和带动作用，</w:t>
      </w:r>
      <w:r>
        <w:rPr>
          <w:rFonts w:hint="eastAsia" w:ascii="仿宋_GB2312" w:hAnsi="仿宋_GB2312" w:eastAsia="仿宋_GB2312" w:cs="仿宋_GB2312"/>
          <w:b w:val="0"/>
          <w:bCs w:val="0"/>
          <w:color w:val="auto"/>
          <w:kern w:val="2"/>
          <w:sz w:val="32"/>
          <w:szCs w:val="32"/>
          <w:highlight w:val="none"/>
          <w:lang w:val="en-US" w:eastAsia="zh-CN"/>
        </w:rPr>
        <w:t>促进</w:t>
      </w:r>
      <w:r>
        <w:rPr>
          <w:rFonts w:hint="eastAsia" w:ascii="仿宋_GB2312" w:hAnsi="仿宋_GB2312" w:eastAsia="仿宋_GB2312" w:cs="仿宋_GB2312"/>
          <w:color w:val="auto"/>
          <w:sz w:val="32"/>
          <w:szCs w:val="32"/>
          <w:highlight w:val="none"/>
          <w:lang w:val="en-US" w:eastAsia="zh-CN"/>
        </w:rPr>
        <w:t>巴达尔胡镇</w:t>
      </w:r>
      <w:r>
        <w:rPr>
          <w:rFonts w:hint="eastAsia" w:ascii="仿宋_GB2312" w:hAnsi="仿宋_GB2312" w:eastAsia="仿宋_GB2312" w:cs="仿宋_GB2312"/>
          <w:b w:val="0"/>
          <w:bCs w:val="0"/>
          <w:color w:val="auto"/>
          <w:kern w:val="2"/>
          <w:sz w:val="32"/>
          <w:szCs w:val="32"/>
          <w:highlight w:val="none"/>
          <w:lang w:val="en-US" w:eastAsia="zh-CN"/>
        </w:rPr>
        <w:t>产业振兴发展。</w:t>
      </w:r>
    </w:p>
    <w:p w14:paraId="16E64E7E">
      <w:pPr>
        <w:pStyle w:val="16"/>
        <w:keepNext w:val="0"/>
        <w:keepLines w:val="0"/>
        <w:pageBreakBefore w:val="0"/>
        <w:widowControl w:val="0"/>
        <w:kinsoku/>
        <w:wordWrap/>
        <w:overflowPunct/>
        <w:topLinePunct w:val="0"/>
        <w:autoSpaceDE/>
        <w:autoSpaceDN/>
        <w:bidi w:val="0"/>
        <w:adjustRightInd w:val="0"/>
        <w:snapToGrid w:val="0"/>
        <w:spacing w:before="0" w:after="0" w:line="600" w:lineRule="exact"/>
        <w:ind w:right="0" w:firstLine="643" w:firstLineChars="200"/>
        <w:jc w:val="both"/>
        <w:textAlignment w:val="auto"/>
        <w:rPr>
          <w:rFonts w:hint="eastAsia"/>
          <w:color w:val="auto"/>
          <w:highlight w:val="none"/>
        </w:rPr>
      </w:pPr>
      <w:r>
        <w:rPr>
          <w:rFonts w:hint="eastAsia" w:cs="Times New Roman"/>
          <w:color w:val="auto"/>
          <w:highlight w:val="none"/>
          <w:lang w:val="en-US" w:eastAsia="zh-CN"/>
        </w:rPr>
        <w:t>七</w:t>
      </w:r>
      <w:r>
        <w:rPr>
          <w:rFonts w:hint="eastAsia"/>
          <w:color w:val="auto"/>
          <w:highlight w:val="none"/>
          <w:lang w:val="en-US" w:eastAsia="zh-CN"/>
        </w:rPr>
        <w:t>、</w:t>
      </w:r>
      <w:r>
        <w:rPr>
          <w:rFonts w:hint="eastAsia"/>
          <w:color w:val="auto"/>
          <w:highlight w:val="none"/>
        </w:rPr>
        <w:t>项目组织保障措施</w:t>
      </w:r>
      <w:bookmarkEnd w:id="2"/>
    </w:p>
    <w:p w14:paraId="3AF1CF2F">
      <w:pPr>
        <w:pageBreakBefore w:val="0"/>
        <w:kinsoku/>
        <w:wordWrap/>
        <w:overflowPunct/>
        <w:topLinePunct w:val="0"/>
        <w:autoSpaceDE/>
        <w:autoSpaceDN/>
        <w:bidi w:val="0"/>
        <w:adjustRightInd w:val="0"/>
        <w:snapToGrid w:val="0"/>
        <w:spacing w:line="600" w:lineRule="exact"/>
        <w:ind w:right="0" w:firstLine="643" w:firstLineChars="200"/>
        <w:jc w:val="both"/>
        <w:textAlignment w:val="auto"/>
        <w:rPr>
          <w:rFonts w:hint="eastAsia" w:ascii="仿宋" w:hAnsi="仿宋" w:eastAsia="仿宋" w:cs="仿宋"/>
          <w:b/>
          <w:bCs/>
          <w:color w:val="auto"/>
          <w:spacing w:val="0"/>
          <w:kern w:val="2"/>
          <w:sz w:val="32"/>
          <w:szCs w:val="32"/>
          <w:highlight w:val="none"/>
          <w:u w:val="none"/>
          <w:lang w:val="en-US" w:eastAsia="zh-CN" w:bidi="ar-SA"/>
        </w:rPr>
      </w:pPr>
      <w:bookmarkStart w:id="3" w:name="_Toc29600"/>
      <w:bookmarkStart w:id="4" w:name="_Toc13109"/>
      <w:r>
        <w:rPr>
          <w:rFonts w:hint="eastAsia" w:ascii="仿宋" w:hAnsi="仿宋" w:eastAsia="仿宋" w:cs="仿宋"/>
          <w:b/>
          <w:bCs/>
          <w:color w:val="auto"/>
          <w:spacing w:val="0"/>
          <w:kern w:val="2"/>
          <w:sz w:val="32"/>
          <w:szCs w:val="32"/>
          <w:highlight w:val="none"/>
          <w:u w:val="none"/>
          <w:lang w:val="en-US" w:eastAsia="zh-CN" w:bidi="ar-SA"/>
        </w:rPr>
        <w:t>（一）实施组织保障</w:t>
      </w:r>
      <w:bookmarkEnd w:id="3"/>
      <w:bookmarkEnd w:id="4"/>
    </w:p>
    <w:p w14:paraId="40EC9D01">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巴达尔胡镇成立以主要负责人任组长，分管领导为副组长，乡村振兴办公室和财政所为成员的项目实施领导小组。负责项目实施方案编制及申报，项目资金的申请、使用和监管，参与项目实施过程的监管以及档案资料收集、信息宣传，组织项目验收，项目归档、绩效评价等工作。</w:t>
      </w:r>
    </w:p>
    <w:p w14:paraId="776986A2">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组  长：伊六十一，负责项目全面管理</w:t>
      </w:r>
    </w:p>
    <w:p w14:paraId="60AD4C2E">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副组长：张曙光，负责协助组长项目实施方案编制及申报，项目资金的申请、使用和监管；</w:t>
      </w:r>
    </w:p>
    <w:p w14:paraId="0E5E2044">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成  员：包佳辉，负责档案资料收集、信息宣传，组织项目验收，项目归档、绩效评价等工作。</w:t>
      </w:r>
    </w:p>
    <w:p w14:paraId="13343B81">
      <w:pPr>
        <w:pageBreakBefore w:val="0"/>
        <w:kinsoku/>
        <w:wordWrap/>
        <w:overflowPunct/>
        <w:topLinePunct w:val="0"/>
        <w:autoSpaceDE/>
        <w:autoSpaceDN/>
        <w:bidi w:val="0"/>
        <w:adjustRightInd w:val="0"/>
        <w:snapToGrid w:val="0"/>
        <w:spacing w:line="600" w:lineRule="exact"/>
        <w:ind w:right="0" w:firstLine="643"/>
        <w:jc w:val="both"/>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color w:val="auto"/>
          <w:kern w:val="2"/>
          <w:sz w:val="32"/>
          <w:szCs w:val="32"/>
          <w:highlight w:val="none"/>
          <w:lang w:val="en-US" w:eastAsia="zh-CN" w:bidi="ar-SA"/>
        </w:rPr>
        <w:t>成  员：代  兄，项目资金申请与拨付。</w:t>
      </w:r>
      <w:bookmarkStart w:id="5" w:name="_Toc17586"/>
      <w:bookmarkStart w:id="6" w:name="_Toc66"/>
      <w:bookmarkStart w:id="7" w:name="_Toc23527"/>
      <w:bookmarkStart w:id="8" w:name="_Toc57185100"/>
    </w:p>
    <w:p w14:paraId="30156326">
      <w:pPr>
        <w:pageBreakBefore w:val="0"/>
        <w:kinsoku/>
        <w:wordWrap/>
        <w:overflowPunct/>
        <w:topLinePunct w:val="0"/>
        <w:autoSpaceDE/>
        <w:autoSpaceDN/>
        <w:bidi w:val="0"/>
        <w:adjustRightInd w:val="0"/>
        <w:snapToGrid w:val="0"/>
        <w:spacing w:line="600" w:lineRule="exact"/>
        <w:ind w:right="0" w:firstLine="643"/>
        <w:jc w:val="both"/>
        <w:textAlignment w:val="auto"/>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（二）实施原则</w:t>
      </w:r>
      <w:bookmarkEnd w:id="5"/>
      <w:bookmarkEnd w:id="6"/>
    </w:p>
    <w:p w14:paraId="730D6A10">
      <w:pPr>
        <w:pageBreakBefore w:val="0"/>
        <w:kinsoku/>
        <w:wordWrap/>
        <w:overflowPunct/>
        <w:topLinePunct w:val="0"/>
        <w:autoSpaceDN/>
        <w:bidi w:val="0"/>
        <w:adjustRightInd w:val="0"/>
        <w:snapToGrid w:val="0"/>
        <w:spacing w:line="600" w:lineRule="exact"/>
        <w:ind w:right="0" w:firstLine="6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1.公开透明。项目资金的使用、规划布局和实施结果公开透明。</w:t>
      </w:r>
    </w:p>
    <w:p w14:paraId="43389DC3">
      <w:pPr>
        <w:pStyle w:val="4"/>
        <w:pageBreakBefore w:val="0"/>
        <w:kinsoku/>
        <w:wordWrap/>
        <w:overflowPunct/>
        <w:topLinePunct w:val="0"/>
        <w:autoSpaceDE/>
        <w:autoSpaceDN/>
        <w:bidi w:val="0"/>
        <w:adjustRightInd w:val="0"/>
        <w:snapToGrid w:val="0"/>
        <w:spacing w:line="600" w:lineRule="exact"/>
        <w:ind w:right="0" w:firstLine="64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2.权责落实、分工协作。财政所负责项目资金使用管理，镇政府负责项目的实施、管理、监督。</w:t>
      </w:r>
    </w:p>
    <w:p w14:paraId="5E8586AF">
      <w:pPr>
        <w:keepNext w:val="0"/>
        <w:keepLines w:val="0"/>
        <w:pageBreakBefore w:val="0"/>
        <w:kinsoku/>
        <w:wordWrap/>
        <w:overflowPunct/>
        <w:topLinePunct w:val="0"/>
        <w:autoSpaceDE/>
        <w:autoSpaceDN/>
        <w:bidi w:val="0"/>
        <w:adjustRightInd w:val="0"/>
        <w:snapToGrid w:val="0"/>
        <w:spacing w:line="600" w:lineRule="exact"/>
        <w:ind w:right="0" w:firstLine="643"/>
        <w:jc w:val="both"/>
        <w:textAlignment w:val="auto"/>
        <w:outlineLvl w:val="9"/>
        <w:rPr>
          <w:rFonts w:hint="eastAsia" w:ascii="仿宋" w:hAnsi="仿宋" w:eastAsia="仿宋" w:cs="仿宋"/>
          <w:b/>
          <w:bCs/>
          <w:color w:val="auto"/>
          <w:sz w:val="32"/>
          <w:szCs w:val="32"/>
          <w:highlight w:val="none"/>
          <w:u w:val="none"/>
          <w:lang w:val="en-US" w:eastAsia="zh-CN" w:bidi="ar-SA"/>
        </w:rPr>
      </w:pPr>
      <w:bookmarkStart w:id="9" w:name="_Toc13716"/>
      <w:r>
        <w:rPr>
          <w:rFonts w:hint="eastAsia" w:ascii="仿宋" w:hAnsi="仿宋" w:eastAsia="仿宋" w:cs="仿宋"/>
          <w:b/>
          <w:bCs/>
          <w:color w:val="auto"/>
          <w:spacing w:val="0"/>
          <w:kern w:val="2"/>
          <w:sz w:val="32"/>
          <w:szCs w:val="32"/>
          <w:highlight w:val="none"/>
          <w:u w:val="none"/>
          <w:lang w:val="en-US" w:eastAsia="zh-CN" w:bidi="ar-SA"/>
        </w:rPr>
        <w:t>（三）</w:t>
      </w:r>
      <w:r>
        <w:rPr>
          <w:rFonts w:hint="eastAsia" w:ascii="仿宋" w:hAnsi="仿宋" w:eastAsia="仿宋" w:cs="仿宋"/>
          <w:b/>
          <w:bCs/>
          <w:color w:val="auto"/>
          <w:sz w:val="32"/>
          <w:szCs w:val="32"/>
          <w:highlight w:val="none"/>
          <w:u w:val="none"/>
          <w:lang w:val="en-US" w:eastAsia="zh-CN" w:bidi="ar-SA"/>
        </w:rPr>
        <w:t>项目实施进度管理</w:t>
      </w:r>
      <w:bookmarkEnd w:id="9"/>
    </w:p>
    <w:p w14:paraId="05E6C338">
      <w:pPr>
        <w:pageBreakBefore w:val="0"/>
        <w:kinsoku/>
        <w:wordWrap/>
        <w:overflowPunct/>
        <w:topLinePunct w:val="0"/>
        <w:autoSpaceDE/>
        <w:autoSpaceDN/>
        <w:bidi w:val="0"/>
        <w:adjustRightInd w:val="0"/>
        <w:snapToGrid w:val="0"/>
        <w:spacing w:line="600" w:lineRule="exact"/>
        <w:ind w:right="0" w:firstLine="600" w:firstLineChars="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1.项目批复。</w:t>
      </w:r>
      <w:r>
        <w:rPr>
          <w:rFonts w:hint="eastAsia" w:ascii="仿宋_GB2312" w:hAnsi="仿宋_GB2312" w:eastAsia="仿宋_GB2312" w:cs="仿宋_GB2312"/>
          <w:color w:val="auto"/>
          <w:spacing w:val="0"/>
          <w:kern w:val="2"/>
          <w:sz w:val="32"/>
          <w:szCs w:val="32"/>
          <w:highlight w:val="none"/>
          <w:lang w:val="en-US" w:eastAsia="zh-CN" w:bidi="ar-SA"/>
        </w:rPr>
        <w:t>统一由乡村振兴局办理批复手续。</w:t>
      </w:r>
    </w:p>
    <w:p w14:paraId="31EFE39B">
      <w:pPr>
        <w:pageBreakBefore w:val="0"/>
        <w:numPr>
          <w:ilvl w:val="-1"/>
          <w:numId w:val="0"/>
        </w:numPr>
        <w:kinsoku/>
        <w:wordWrap/>
        <w:overflowPunct/>
        <w:topLinePunct w:val="0"/>
        <w:autoSpaceDE/>
        <w:autoSpaceDN/>
        <w:bidi w:val="0"/>
        <w:adjustRightInd w:val="0"/>
        <w:snapToGrid w:val="0"/>
        <w:spacing w:line="600" w:lineRule="exact"/>
        <w:ind w:right="0" w:firstLine="600" w:firstLineChars="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2.项目建设。</w:t>
      </w:r>
      <w:r>
        <w:rPr>
          <w:rFonts w:hint="eastAsia" w:ascii="仿宋_GB2312" w:hAnsi="仿宋_GB2312" w:eastAsia="仿宋_GB2312" w:cs="仿宋_GB2312"/>
          <w:color w:val="auto"/>
          <w:spacing w:val="0"/>
          <w:kern w:val="2"/>
          <w:sz w:val="32"/>
          <w:szCs w:val="32"/>
          <w:highlight w:val="none"/>
          <w:lang w:val="en-US" w:eastAsia="zh-CN" w:bidi="ar-SA"/>
        </w:rPr>
        <w:t>项目建设成立领导小组，开展项目建设过程的监管以及档案资料收集、信息宣传等工作。</w:t>
      </w:r>
    </w:p>
    <w:p w14:paraId="6DA098E2">
      <w:pPr>
        <w:pStyle w:val="4"/>
        <w:pageBreakBefore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3.实施过程管理。</w:t>
      </w:r>
      <w:r>
        <w:rPr>
          <w:rFonts w:hint="eastAsia" w:ascii="仿宋_GB2312" w:hAnsi="仿宋_GB2312" w:eastAsia="仿宋_GB2312" w:cs="仿宋_GB2312"/>
          <w:b w:val="0"/>
          <w:bCs w:val="0"/>
          <w:color w:val="auto"/>
          <w:sz w:val="32"/>
          <w:szCs w:val="32"/>
          <w:highlight w:val="none"/>
          <w:lang w:val="en-US" w:eastAsia="zh-CN" w:bidi="ar-SA"/>
        </w:rPr>
        <w:t>嘎查委员会承担到户产业项目的监管职责，定期到户检查产业项目运营情况，监管项目不流失。专业技术指导员定期到户指导、解答产业发展存在的问题，确保可持续发展</w:t>
      </w:r>
      <w:r>
        <w:rPr>
          <w:rFonts w:hint="eastAsia" w:ascii="仿宋_GB2312" w:hAnsi="仿宋_GB2312" w:eastAsia="仿宋_GB2312" w:cs="仿宋_GB2312"/>
          <w:b w:val="0"/>
          <w:bCs w:val="0"/>
          <w:color w:val="auto"/>
          <w:sz w:val="32"/>
          <w:szCs w:val="32"/>
          <w:highlight w:val="none"/>
          <w:lang w:val="en-US" w:eastAsia="zh-CN"/>
        </w:rPr>
        <w:t>。</w:t>
      </w:r>
    </w:p>
    <w:p w14:paraId="50B930C9">
      <w:pPr>
        <w:pStyle w:val="4"/>
        <w:pageBreakBefore w:val="0"/>
        <w:kinsoku/>
        <w:wordWrap/>
        <w:overflowPunct/>
        <w:topLinePunct w:val="0"/>
        <w:autoSpaceDE/>
        <w:autoSpaceDN/>
        <w:bidi w:val="0"/>
        <w:adjustRightInd w:val="0"/>
        <w:snapToGrid w:val="0"/>
        <w:spacing w:line="600" w:lineRule="exact"/>
        <w:ind w:right="0" w:firstLine="64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4.监督管理。</w:t>
      </w:r>
    </w:p>
    <w:p w14:paraId="52AD3256">
      <w:pPr>
        <w:pStyle w:val="6"/>
        <w:pageBreakBefore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（1）加强项目管理，实行项目公开公示制、法人负责制、项目统一验收制，确保项目顺利实施。</w:t>
      </w:r>
    </w:p>
    <w:p w14:paraId="12E5C204">
      <w:pPr>
        <w:pStyle w:val="6"/>
        <w:pageBreakBefore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（2）镇纪委负责对项目资金的组织、指导和监督，并协商审计、监察部门配合，定期组织检查资金的使用情况，发现问题及时纠正。同时接受财政、审计等部门的监督和检查。</w:t>
      </w:r>
    </w:p>
    <w:p w14:paraId="4D21E501">
      <w:pPr>
        <w:pStyle w:val="6"/>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（3）对擅自挤占、截留、挪用、套取、虚报、冒领和贪污项目资金，给国家造成损失的，一律移交纪检监察机关或司法机关处理。</w:t>
      </w:r>
    </w:p>
    <w:p w14:paraId="1826A8FB">
      <w:pPr>
        <w:pageBreakBefore w:val="0"/>
        <w:kinsoku/>
        <w:wordWrap/>
        <w:overflowPunct/>
        <w:topLinePunct w:val="0"/>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bidi="ar-SA"/>
        </w:rPr>
        <w:t>项目档案管理</w:t>
      </w:r>
    </w:p>
    <w:p w14:paraId="14D1DF0F">
      <w:pPr>
        <w:pageBreakBefore w:val="0"/>
        <w:kinsoku/>
        <w:wordWrap/>
        <w:overflowPunct/>
        <w:topLinePunct w:val="0"/>
        <w:autoSpaceDE/>
        <w:autoSpaceDN/>
        <w:bidi w:val="0"/>
        <w:adjustRightInd w:val="0"/>
        <w:snapToGrid w:val="0"/>
        <w:spacing w:line="600" w:lineRule="exact"/>
        <w:ind w:right="0" w:firstLine="600"/>
        <w:jc w:val="both"/>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bidi="ar-SA"/>
        </w:rPr>
        <w:t>苏木、嘎查两级要做好庭院经济档案管理工作，留存各户发展庭院经济影像资料，同时要做好各户发展项目的收入情况统计，并确保数据真实准确</w:t>
      </w:r>
      <w:r>
        <w:rPr>
          <w:rFonts w:hint="eastAsia" w:ascii="仿宋_GB2312" w:hAnsi="仿宋_GB2312" w:eastAsia="仿宋_GB2312" w:cs="仿宋_GB2312"/>
          <w:color w:val="auto"/>
          <w:sz w:val="32"/>
          <w:szCs w:val="32"/>
          <w:highlight w:val="none"/>
          <w:lang w:val="en-US" w:eastAsia="zh-CN" w:bidi="ar-SA"/>
        </w:rPr>
        <w:t>。</w:t>
      </w:r>
    </w:p>
    <w:p w14:paraId="3B3B996E">
      <w:pPr>
        <w:keepNext w:val="0"/>
        <w:keepLines w:val="0"/>
        <w:pageBreakBefore w:val="0"/>
        <w:widowControl w:val="0"/>
        <w:kinsoku/>
        <w:wordWrap/>
        <w:overflowPunct/>
        <w:topLinePunct w:val="0"/>
        <w:autoSpaceDE/>
        <w:autoSpaceDN/>
        <w:bidi w:val="0"/>
        <w:adjustRightInd w:val="0"/>
        <w:snapToGrid w:val="0"/>
        <w:spacing w:line="600" w:lineRule="exact"/>
        <w:ind w:right="0" w:firstLine="643"/>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b/>
          <w:bCs/>
          <w:color w:val="auto"/>
          <w:spacing w:val="0"/>
          <w:kern w:val="2"/>
          <w:sz w:val="32"/>
          <w:szCs w:val="32"/>
          <w:highlight w:val="none"/>
          <w:u w:val="none"/>
          <w:lang w:val="en-US" w:eastAsia="zh-CN" w:bidi="ar-SA"/>
        </w:rPr>
        <w:t>（四）项目验收及相关要求</w:t>
      </w:r>
      <w:bookmarkEnd w:id="7"/>
      <w:bookmarkStart w:id="10" w:name="_Toc13450"/>
      <w:bookmarkStart w:id="11" w:name="_Toc9021"/>
      <w:bookmarkStart w:id="12" w:name="_Toc16224"/>
      <w:bookmarkStart w:id="13" w:name="_Toc22601"/>
    </w:p>
    <w:p w14:paraId="1D9D4BB7">
      <w:pPr>
        <w:keepNext w:val="0"/>
        <w:keepLines w:val="0"/>
        <w:pageBreakBefore w:val="0"/>
        <w:widowControl w:val="0"/>
        <w:kinsoku/>
        <w:wordWrap/>
        <w:overflowPunct/>
        <w:topLinePunct w:val="0"/>
        <w:autoSpaceDE/>
        <w:autoSpaceDN/>
        <w:bidi w:val="0"/>
        <w:adjustRightInd w:val="0"/>
        <w:snapToGrid w:val="0"/>
        <w:spacing w:line="600" w:lineRule="exact"/>
        <w:ind w:right="0" w:firstLine="643"/>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完成后，嘎查（村）组织验收人员，对各嘎查实施的庭院经济项目进行逐户实地验收并出具验收报告，对验收结果按程序进行公示，公示期满且无异议后形成补贴花名册报苏木（镇）人民政府；苏木（镇）人民政府在嘎查验收合格的基础上，按照项目实施的品种、规模、补贴额度、管理机制等方面组织抽验，抽验比例不低于20%，根据抽验情况兑现补贴。</w:t>
      </w:r>
    </w:p>
    <w:p w14:paraId="37ADA803">
      <w:pPr>
        <w:pageBreakBefore w:val="0"/>
        <w:widowControl w:val="0"/>
        <w:kinsoku/>
        <w:wordWrap/>
        <w:overflowPunct/>
        <w:topLinePunct w:val="0"/>
        <w:autoSpaceDE/>
        <w:autoSpaceDN/>
        <w:bidi w:val="0"/>
        <w:adjustRightInd w:val="0"/>
        <w:snapToGrid w:val="0"/>
        <w:spacing w:line="600" w:lineRule="exact"/>
        <w:ind w:right="0" w:firstLine="643"/>
        <w:jc w:val="both"/>
        <w:textAlignment w:val="auto"/>
        <w:outlineLvl w:val="9"/>
        <w:rPr>
          <w:rFonts w:hint="eastAsia" w:ascii="仿宋" w:hAnsi="仿宋" w:eastAsia="仿宋" w:cs="仿宋"/>
          <w:b/>
          <w:bCs/>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u w:val="none"/>
          <w:lang w:val="en-US" w:eastAsia="zh-CN" w:bidi="ar-SA"/>
        </w:rPr>
        <w:t>（五）项目后续管护</w:t>
      </w:r>
    </w:p>
    <w:p w14:paraId="29F8B4F7">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建立健全项目后续管护机制</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由农户自行采购或委托采购、栽植，农户自主经营，采取先建后补的模式给予补贴，将实施的庭院经济项目形成的资产由农户自行管护</w:t>
      </w:r>
      <w:r>
        <w:rPr>
          <w:rFonts w:hint="eastAsia" w:ascii="仿宋_GB2312" w:hAnsi="仿宋_GB2312" w:eastAsia="仿宋_GB2312" w:cs="仿宋_GB2312"/>
          <w:b w:val="0"/>
          <w:bCs w:val="0"/>
          <w:color w:val="auto"/>
          <w:spacing w:val="0"/>
          <w:kern w:val="2"/>
          <w:sz w:val="32"/>
          <w:szCs w:val="32"/>
          <w:highlight w:val="none"/>
          <w:lang w:val="en-US" w:eastAsia="zh-CN" w:bidi="ar-SA"/>
        </w:rPr>
        <w:t>。村委会要对各户项目实施情况进行监督管理。</w:t>
      </w:r>
      <w:bookmarkEnd w:id="8"/>
      <w:bookmarkEnd w:id="10"/>
      <w:bookmarkEnd w:id="11"/>
      <w:bookmarkEnd w:id="12"/>
      <w:bookmarkEnd w:id="1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326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E5CD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E5CD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ZjUyNzg4MTRhNGJlNmU2ZmYzMmNjYjJhNGI0OWIifQ=="/>
  </w:docVars>
  <w:rsids>
    <w:rsidRoot w:val="6AAB0F48"/>
    <w:rsid w:val="0005365D"/>
    <w:rsid w:val="00303F39"/>
    <w:rsid w:val="00513B18"/>
    <w:rsid w:val="00733482"/>
    <w:rsid w:val="009A738A"/>
    <w:rsid w:val="00B20DF2"/>
    <w:rsid w:val="00B561ED"/>
    <w:rsid w:val="00C50B26"/>
    <w:rsid w:val="00CD79DA"/>
    <w:rsid w:val="00D70859"/>
    <w:rsid w:val="00E60BE7"/>
    <w:rsid w:val="00E732D0"/>
    <w:rsid w:val="00F97A3C"/>
    <w:rsid w:val="00FB1CA7"/>
    <w:rsid w:val="010158D6"/>
    <w:rsid w:val="01164A3B"/>
    <w:rsid w:val="01207B0A"/>
    <w:rsid w:val="012E3DAC"/>
    <w:rsid w:val="015841FA"/>
    <w:rsid w:val="0169620C"/>
    <w:rsid w:val="017F2909"/>
    <w:rsid w:val="018C3245"/>
    <w:rsid w:val="01DA77FA"/>
    <w:rsid w:val="01E74DD5"/>
    <w:rsid w:val="01FD392D"/>
    <w:rsid w:val="020A5B6C"/>
    <w:rsid w:val="022A36A8"/>
    <w:rsid w:val="027F2F56"/>
    <w:rsid w:val="02847772"/>
    <w:rsid w:val="029B1385"/>
    <w:rsid w:val="02B73BF3"/>
    <w:rsid w:val="02DB6B55"/>
    <w:rsid w:val="02DE2257"/>
    <w:rsid w:val="0319151A"/>
    <w:rsid w:val="035245C0"/>
    <w:rsid w:val="038720C2"/>
    <w:rsid w:val="0388761E"/>
    <w:rsid w:val="038D16A3"/>
    <w:rsid w:val="03AD58A1"/>
    <w:rsid w:val="03B92498"/>
    <w:rsid w:val="03BF488D"/>
    <w:rsid w:val="03C24131"/>
    <w:rsid w:val="03C75DDA"/>
    <w:rsid w:val="03CB34E5"/>
    <w:rsid w:val="03F67248"/>
    <w:rsid w:val="03FE360B"/>
    <w:rsid w:val="042F2E8C"/>
    <w:rsid w:val="045819E3"/>
    <w:rsid w:val="04784101"/>
    <w:rsid w:val="048B3E34"/>
    <w:rsid w:val="049167B3"/>
    <w:rsid w:val="049D1ADC"/>
    <w:rsid w:val="04A40A52"/>
    <w:rsid w:val="04F32433"/>
    <w:rsid w:val="04F96FF0"/>
    <w:rsid w:val="052B08BC"/>
    <w:rsid w:val="054144F3"/>
    <w:rsid w:val="05521180"/>
    <w:rsid w:val="057F1EC7"/>
    <w:rsid w:val="058F525E"/>
    <w:rsid w:val="059E4A61"/>
    <w:rsid w:val="05B11879"/>
    <w:rsid w:val="05D2279C"/>
    <w:rsid w:val="05DE0DC3"/>
    <w:rsid w:val="05FB6D97"/>
    <w:rsid w:val="06052AFB"/>
    <w:rsid w:val="06100611"/>
    <w:rsid w:val="062108EB"/>
    <w:rsid w:val="062F6A41"/>
    <w:rsid w:val="063127B9"/>
    <w:rsid w:val="06361B7E"/>
    <w:rsid w:val="065A5CE8"/>
    <w:rsid w:val="06693D01"/>
    <w:rsid w:val="067568A4"/>
    <w:rsid w:val="067F0FEC"/>
    <w:rsid w:val="068C3204"/>
    <w:rsid w:val="06A02E60"/>
    <w:rsid w:val="06A71A20"/>
    <w:rsid w:val="06AE3D6C"/>
    <w:rsid w:val="06B25349"/>
    <w:rsid w:val="06C849F4"/>
    <w:rsid w:val="06D870D9"/>
    <w:rsid w:val="06E36713"/>
    <w:rsid w:val="06FC4B75"/>
    <w:rsid w:val="07027EB6"/>
    <w:rsid w:val="071F07E6"/>
    <w:rsid w:val="07265691"/>
    <w:rsid w:val="072F6AC1"/>
    <w:rsid w:val="073A79DB"/>
    <w:rsid w:val="07504EC1"/>
    <w:rsid w:val="075D28C2"/>
    <w:rsid w:val="075E138C"/>
    <w:rsid w:val="07745C20"/>
    <w:rsid w:val="079B25E0"/>
    <w:rsid w:val="07B23FD9"/>
    <w:rsid w:val="07BC4F11"/>
    <w:rsid w:val="07D3511A"/>
    <w:rsid w:val="07D478A0"/>
    <w:rsid w:val="07F15D72"/>
    <w:rsid w:val="07F84452"/>
    <w:rsid w:val="082F469A"/>
    <w:rsid w:val="084C5688"/>
    <w:rsid w:val="08566507"/>
    <w:rsid w:val="088210AA"/>
    <w:rsid w:val="08944BA9"/>
    <w:rsid w:val="08AC11B1"/>
    <w:rsid w:val="08BB280E"/>
    <w:rsid w:val="08C01BD2"/>
    <w:rsid w:val="08E81855"/>
    <w:rsid w:val="08F20D59"/>
    <w:rsid w:val="08F36929"/>
    <w:rsid w:val="08F63156"/>
    <w:rsid w:val="093205F7"/>
    <w:rsid w:val="0942420E"/>
    <w:rsid w:val="09647032"/>
    <w:rsid w:val="097326B0"/>
    <w:rsid w:val="09A42C06"/>
    <w:rsid w:val="09AD65FB"/>
    <w:rsid w:val="09C33F12"/>
    <w:rsid w:val="09E56C7E"/>
    <w:rsid w:val="09E61E6C"/>
    <w:rsid w:val="0A0D5381"/>
    <w:rsid w:val="0A0E2F2B"/>
    <w:rsid w:val="0A187CE8"/>
    <w:rsid w:val="0A1B17B6"/>
    <w:rsid w:val="0A321BF8"/>
    <w:rsid w:val="0A332A80"/>
    <w:rsid w:val="0A4137CD"/>
    <w:rsid w:val="0A5C5B89"/>
    <w:rsid w:val="0A5F5B47"/>
    <w:rsid w:val="0A6A2E05"/>
    <w:rsid w:val="0A762342"/>
    <w:rsid w:val="0A7A2AA6"/>
    <w:rsid w:val="0A7D7625"/>
    <w:rsid w:val="0A8304EE"/>
    <w:rsid w:val="0A8E0DEA"/>
    <w:rsid w:val="0A8E6487"/>
    <w:rsid w:val="0A9279B2"/>
    <w:rsid w:val="0A937845"/>
    <w:rsid w:val="0A984BB5"/>
    <w:rsid w:val="0AA03876"/>
    <w:rsid w:val="0AAA74DC"/>
    <w:rsid w:val="0AB45767"/>
    <w:rsid w:val="0AB761DB"/>
    <w:rsid w:val="0AB81E22"/>
    <w:rsid w:val="0ABB0927"/>
    <w:rsid w:val="0ABE35FD"/>
    <w:rsid w:val="0ACA02E2"/>
    <w:rsid w:val="0AE94AB9"/>
    <w:rsid w:val="0AE95027"/>
    <w:rsid w:val="0AEA1189"/>
    <w:rsid w:val="0B093D05"/>
    <w:rsid w:val="0B136931"/>
    <w:rsid w:val="0B1A0BB8"/>
    <w:rsid w:val="0B2708AC"/>
    <w:rsid w:val="0B304DED"/>
    <w:rsid w:val="0B4712AC"/>
    <w:rsid w:val="0B573F86"/>
    <w:rsid w:val="0B7F3F04"/>
    <w:rsid w:val="0BA92DF2"/>
    <w:rsid w:val="0BB70132"/>
    <w:rsid w:val="0C1A57D5"/>
    <w:rsid w:val="0C1E10EA"/>
    <w:rsid w:val="0C22507E"/>
    <w:rsid w:val="0C234952"/>
    <w:rsid w:val="0C3B29B1"/>
    <w:rsid w:val="0C525E8A"/>
    <w:rsid w:val="0C550884"/>
    <w:rsid w:val="0C553299"/>
    <w:rsid w:val="0C61547A"/>
    <w:rsid w:val="0C6E02C3"/>
    <w:rsid w:val="0C755FDC"/>
    <w:rsid w:val="0C834CE2"/>
    <w:rsid w:val="0C943AA2"/>
    <w:rsid w:val="0CA010A3"/>
    <w:rsid w:val="0CC504A1"/>
    <w:rsid w:val="0CF21FF7"/>
    <w:rsid w:val="0D0C188A"/>
    <w:rsid w:val="0D1349C7"/>
    <w:rsid w:val="0D1738E9"/>
    <w:rsid w:val="0D511B10"/>
    <w:rsid w:val="0D52244A"/>
    <w:rsid w:val="0D5F7981"/>
    <w:rsid w:val="0D6D0123"/>
    <w:rsid w:val="0DA628B6"/>
    <w:rsid w:val="0DB30AE0"/>
    <w:rsid w:val="0DB436C0"/>
    <w:rsid w:val="0DF02F5A"/>
    <w:rsid w:val="0E095A7F"/>
    <w:rsid w:val="0E2F10A1"/>
    <w:rsid w:val="0E2F76B5"/>
    <w:rsid w:val="0E3035BE"/>
    <w:rsid w:val="0E6A269A"/>
    <w:rsid w:val="0E6A2D0C"/>
    <w:rsid w:val="0E8D69FB"/>
    <w:rsid w:val="0E9678EA"/>
    <w:rsid w:val="0EA7186A"/>
    <w:rsid w:val="0EB30AF3"/>
    <w:rsid w:val="0EDC6849"/>
    <w:rsid w:val="0EEC1973"/>
    <w:rsid w:val="0EEC3721"/>
    <w:rsid w:val="0F024CF3"/>
    <w:rsid w:val="0F0A004B"/>
    <w:rsid w:val="0F25429F"/>
    <w:rsid w:val="0F4720F9"/>
    <w:rsid w:val="0F571243"/>
    <w:rsid w:val="0F6B4780"/>
    <w:rsid w:val="0F9F2AC4"/>
    <w:rsid w:val="0FBF2A16"/>
    <w:rsid w:val="0FC15E86"/>
    <w:rsid w:val="0FE03185"/>
    <w:rsid w:val="0FE23961"/>
    <w:rsid w:val="0FFB1E00"/>
    <w:rsid w:val="100363BD"/>
    <w:rsid w:val="10062D90"/>
    <w:rsid w:val="10087669"/>
    <w:rsid w:val="100B1927"/>
    <w:rsid w:val="10125409"/>
    <w:rsid w:val="10171A67"/>
    <w:rsid w:val="102D00D3"/>
    <w:rsid w:val="1045133B"/>
    <w:rsid w:val="10594DE6"/>
    <w:rsid w:val="106D7111"/>
    <w:rsid w:val="10811CC6"/>
    <w:rsid w:val="10B13C1E"/>
    <w:rsid w:val="10F60887"/>
    <w:rsid w:val="111B4EE9"/>
    <w:rsid w:val="112936D5"/>
    <w:rsid w:val="1131366D"/>
    <w:rsid w:val="11563471"/>
    <w:rsid w:val="116E48C1"/>
    <w:rsid w:val="117A3266"/>
    <w:rsid w:val="117B5D3B"/>
    <w:rsid w:val="11934328"/>
    <w:rsid w:val="11951E4E"/>
    <w:rsid w:val="11954D99"/>
    <w:rsid w:val="11B81E49"/>
    <w:rsid w:val="11BA49FF"/>
    <w:rsid w:val="11C107A9"/>
    <w:rsid w:val="11DB7F9E"/>
    <w:rsid w:val="11E7098B"/>
    <w:rsid w:val="11F61489"/>
    <w:rsid w:val="120378B0"/>
    <w:rsid w:val="120E1C01"/>
    <w:rsid w:val="12103038"/>
    <w:rsid w:val="121131C7"/>
    <w:rsid w:val="1218482D"/>
    <w:rsid w:val="12223820"/>
    <w:rsid w:val="124733E8"/>
    <w:rsid w:val="124A277E"/>
    <w:rsid w:val="124F64A1"/>
    <w:rsid w:val="125C0058"/>
    <w:rsid w:val="1272536F"/>
    <w:rsid w:val="1279351E"/>
    <w:rsid w:val="127E4779"/>
    <w:rsid w:val="12843C71"/>
    <w:rsid w:val="129B03A0"/>
    <w:rsid w:val="12B02CB8"/>
    <w:rsid w:val="12F6291F"/>
    <w:rsid w:val="13117BFA"/>
    <w:rsid w:val="131B45D5"/>
    <w:rsid w:val="132C74DE"/>
    <w:rsid w:val="132F7C71"/>
    <w:rsid w:val="1331131C"/>
    <w:rsid w:val="13345697"/>
    <w:rsid w:val="13423F07"/>
    <w:rsid w:val="136E0BA9"/>
    <w:rsid w:val="138819DE"/>
    <w:rsid w:val="139243B1"/>
    <w:rsid w:val="139D323C"/>
    <w:rsid w:val="139F67A9"/>
    <w:rsid w:val="13AF5689"/>
    <w:rsid w:val="13CF0564"/>
    <w:rsid w:val="13D85772"/>
    <w:rsid w:val="13F13588"/>
    <w:rsid w:val="14025795"/>
    <w:rsid w:val="141B4BF5"/>
    <w:rsid w:val="14263231"/>
    <w:rsid w:val="142D6783"/>
    <w:rsid w:val="14497829"/>
    <w:rsid w:val="14783E9E"/>
    <w:rsid w:val="147F1B04"/>
    <w:rsid w:val="14883EEC"/>
    <w:rsid w:val="149D17B5"/>
    <w:rsid w:val="14C447F8"/>
    <w:rsid w:val="14D771FE"/>
    <w:rsid w:val="14DF3FC2"/>
    <w:rsid w:val="150C0A3E"/>
    <w:rsid w:val="15222BD9"/>
    <w:rsid w:val="152C0D1B"/>
    <w:rsid w:val="153C1361"/>
    <w:rsid w:val="155E7AED"/>
    <w:rsid w:val="15724254"/>
    <w:rsid w:val="157E7A6B"/>
    <w:rsid w:val="1588585E"/>
    <w:rsid w:val="15915022"/>
    <w:rsid w:val="15AB6EFE"/>
    <w:rsid w:val="15B75D58"/>
    <w:rsid w:val="15BE749A"/>
    <w:rsid w:val="15D62A35"/>
    <w:rsid w:val="15E35C9B"/>
    <w:rsid w:val="15E46F00"/>
    <w:rsid w:val="162156B6"/>
    <w:rsid w:val="162544CB"/>
    <w:rsid w:val="1629092A"/>
    <w:rsid w:val="16325718"/>
    <w:rsid w:val="16576E29"/>
    <w:rsid w:val="16670100"/>
    <w:rsid w:val="167442A3"/>
    <w:rsid w:val="16962107"/>
    <w:rsid w:val="16A10D7E"/>
    <w:rsid w:val="16B20DAC"/>
    <w:rsid w:val="16B86557"/>
    <w:rsid w:val="172E7F5C"/>
    <w:rsid w:val="17354F80"/>
    <w:rsid w:val="17544559"/>
    <w:rsid w:val="1764115C"/>
    <w:rsid w:val="177E15D6"/>
    <w:rsid w:val="177F605C"/>
    <w:rsid w:val="1791130A"/>
    <w:rsid w:val="179450ED"/>
    <w:rsid w:val="179F0331"/>
    <w:rsid w:val="17BB1EE3"/>
    <w:rsid w:val="17F90C5D"/>
    <w:rsid w:val="17FC142C"/>
    <w:rsid w:val="17FD35C4"/>
    <w:rsid w:val="17FE1E4C"/>
    <w:rsid w:val="182E4DAB"/>
    <w:rsid w:val="183456CF"/>
    <w:rsid w:val="18405966"/>
    <w:rsid w:val="185760AF"/>
    <w:rsid w:val="18694035"/>
    <w:rsid w:val="189E3CDE"/>
    <w:rsid w:val="18F82820"/>
    <w:rsid w:val="19053358"/>
    <w:rsid w:val="191131EB"/>
    <w:rsid w:val="19141836"/>
    <w:rsid w:val="194A1770"/>
    <w:rsid w:val="19503E83"/>
    <w:rsid w:val="19592115"/>
    <w:rsid w:val="196842EC"/>
    <w:rsid w:val="19750251"/>
    <w:rsid w:val="19960E59"/>
    <w:rsid w:val="19A90B8D"/>
    <w:rsid w:val="19AC5F87"/>
    <w:rsid w:val="19C31523"/>
    <w:rsid w:val="1A01547B"/>
    <w:rsid w:val="1A056BE7"/>
    <w:rsid w:val="1A073B05"/>
    <w:rsid w:val="1A0F29BA"/>
    <w:rsid w:val="1A332923"/>
    <w:rsid w:val="1A4E703E"/>
    <w:rsid w:val="1A5B0186"/>
    <w:rsid w:val="1ABC48F0"/>
    <w:rsid w:val="1AC83294"/>
    <w:rsid w:val="1AF53D51"/>
    <w:rsid w:val="1B1A1616"/>
    <w:rsid w:val="1B1D31D2"/>
    <w:rsid w:val="1B300E3A"/>
    <w:rsid w:val="1B3B022B"/>
    <w:rsid w:val="1B414DF5"/>
    <w:rsid w:val="1B612DA1"/>
    <w:rsid w:val="1B630EB2"/>
    <w:rsid w:val="1B7232D0"/>
    <w:rsid w:val="1BC04698"/>
    <w:rsid w:val="1BD93AE8"/>
    <w:rsid w:val="1BFB4A85"/>
    <w:rsid w:val="1C147E56"/>
    <w:rsid w:val="1C3271F3"/>
    <w:rsid w:val="1C3A3AA8"/>
    <w:rsid w:val="1C55496B"/>
    <w:rsid w:val="1C6F0790"/>
    <w:rsid w:val="1C7B155D"/>
    <w:rsid w:val="1C7C0E02"/>
    <w:rsid w:val="1C8B3414"/>
    <w:rsid w:val="1C961170"/>
    <w:rsid w:val="1CB87339"/>
    <w:rsid w:val="1CEB6DC6"/>
    <w:rsid w:val="1CEE3D10"/>
    <w:rsid w:val="1CF163A7"/>
    <w:rsid w:val="1D4149A3"/>
    <w:rsid w:val="1D5F0158"/>
    <w:rsid w:val="1D615B55"/>
    <w:rsid w:val="1D750D86"/>
    <w:rsid w:val="1D864465"/>
    <w:rsid w:val="1DAC618C"/>
    <w:rsid w:val="1DC245CE"/>
    <w:rsid w:val="1DE11FE9"/>
    <w:rsid w:val="1DF6287C"/>
    <w:rsid w:val="1E0C3109"/>
    <w:rsid w:val="1E590E10"/>
    <w:rsid w:val="1E7378D4"/>
    <w:rsid w:val="1E906854"/>
    <w:rsid w:val="1EA31974"/>
    <w:rsid w:val="1EB06F8D"/>
    <w:rsid w:val="1EC629B6"/>
    <w:rsid w:val="1ED85A70"/>
    <w:rsid w:val="1EDF356E"/>
    <w:rsid w:val="1F0B2833"/>
    <w:rsid w:val="1F114ADE"/>
    <w:rsid w:val="1F2A6226"/>
    <w:rsid w:val="1F330EF8"/>
    <w:rsid w:val="1F3D00C5"/>
    <w:rsid w:val="1F3F17BA"/>
    <w:rsid w:val="1F4707AE"/>
    <w:rsid w:val="1F5B1A21"/>
    <w:rsid w:val="1F5C3FAB"/>
    <w:rsid w:val="1F632202"/>
    <w:rsid w:val="1F8053FF"/>
    <w:rsid w:val="1F8F25D3"/>
    <w:rsid w:val="1FC63B1B"/>
    <w:rsid w:val="1FC87203"/>
    <w:rsid w:val="1FD04999"/>
    <w:rsid w:val="1FD33828"/>
    <w:rsid w:val="1FD45569"/>
    <w:rsid w:val="1FD9384E"/>
    <w:rsid w:val="1FDF698A"/>
    <w:rsid w:val="1FFA11D5"/>
    <w:rsid w:val="1FFA6660"/>
    <w:rsid w:val="20011860"/>
    <w:rsid w:val="2028727C"/>
    <w:rsid w:val="2030348B"/>
    <w:rsid w:val="20315438"/>
    <w:rsid w:val="2038654C"/>
    <w:rsid w:val="204B26E4"/>
    <w:rsid w:val="205E7F1A"/>
    <w:rsid w:val="209B4F80"/>
    <w:rsid w:val="209D0D1F"/>
    <w:rsid w:val="20AD05D0"/>
    <w:rsid w:val="20BE0318"/>
    <w:rsid w:val="20CA19AB"/>
    <w:rsid w:val="20EB1A8B"/>
    <w:rsid w:val="20EF1DBF"/>
    <w:rsid w:val="210B3EDB"/>
    <w:rsid w:val="215F4227"/>
    <w:rsid w:val="2160284E"/>
    <w:rsid w:val="216168D7"/>
    <w:rsid w:val="21617BDE"/>
    <w:rsid w:val="21785C28"/>
    <w:rsid w:val="218912A4"/>
    <w:rsid w:val="219E4673"/>
    <w:rsid w:val="21AE2AB8"/>
    <w:rsid w:val="21CF745F"/>
    <w:rsid w:val="21E31635"/>
    <w:rsid w:val="21E40288"/>
    <w:rsid w:val="21E91792"/>
    <w:rsid w:val="224D7248"/>
    <w:rsid w:val="224F214B"/>
    <w:rsid w:val="228E4DC3"/>
    <w:rsid w:val="22996174"/>
    <w:rsid w:val="22A12DD1"/>
    <w:rsid w:val="22A53EBB"/>
    <w:rsid w:val="22D4163D"/>
    <w:rsid w:val="22E20BD6"/>
    <w:rsid w:val="22E944B6"/>
    <w:rsid w:val="22EA7F04"/>
    <w:rsid w:val="22EB44F0"/>
    <w:rsid w:val="2309444A"/>
    <w:rsid w:val="233157B8"/>
    <w:rsid w:val="233F60BE"/>
    <w:rsid w:val="2350494C"/>
    <w:rsid w:val="23623DA3"/>
    <w:rsid w:val="23630371"/>
    <w:rsid w:val="23BD4C4D"/>
    <w:rsid w:val="23BD6FE3"/>
    <w:rsid w:val="23E80503"/>
    <w:rsid w:val="240A0263"/>
    <w:rsid w:val="2423778D"/>
    <w:rsid w:val="24360556"/>
    <w:rsid w:val="24450F04"/>
    <w:rsid w:val="24500783"/>
    <w:rsid w:val="24625291"/>
    <w:rsid w:val="24626E29"/>
    <w:rsid w:val="24634E89"/>
    <w:rsid w:val="247B0D31"/>
    <w:rsid w:val="24863716"/>
    <w:rsid w:val="248D10AB"/>
    <w:rsid w:val="249128EF"/>
    <w:rsid w:val="249E5937"/>
    <w:rsid w:val="24A27F7B"/>
    <w:rsid w:val="24C820E3"/>
    <w:rsid w:val="24CD76F9"/>
    <w:rsid w:val="24DB0068"/>
    <w:rsid w:val="24DD41AB"/>
    <w:rsid w:val="25555CE6"/>
    <w:rsid w:val="255D2F0D"/>
    <w:rsid w:val="255F65A3"/>
    <w:rsid w:val="258C0DA6"/>
    <w:rsid w:val="25A7332E"/>
    <w:rsid w:val="25B763DF"/>
    <w:rsid w:val="25BF5019"/>
    <w:rsid w:val="25C63892"/>
    <w:rsid w:val="25C958D0"/>
    <w:rsid w:val="25E419C5"/>
    <w:rsid w:val="25E90A3B"/>
    <w:rsid w:val="25EB0A69"/>
    <w:rsid w:val="260965DF"/>
    <w:rsid w:val="260E1D77"/>
    <w:rsid w:val="26164F4F"/>
    <w:rsid w:val="26251ED7"/>
    <w:rsid w:val="26705E20"/>
    <w:rsid w:val="267E6EFD"/>
    <w:rsid w:val="268B1839"/>
    <w:rsid w:val="26A336EE"/>
    <w:rsid w:val="26B62C21"/>
    <w:rsid w:val="26C65816"/>
    <w:rsid w:val="270862DE"/>
    <w:rsid w:val="27106059"/>
    <w:rsid w:val="271D5FB2"/>
    <w:rsid w:val="27231852"/>
    <w:rsid w:val="27297F91"/>
    <w:rsid w:val="272C4BAB"/>
    <w:rsid w:val="274263D4"/>
    <w:rsid w:val="27464DE9"/>
    <w:rsid w:val="275F4E49"/>
    <w:rsid w:val="2768741F"/>
    <w:rsid w:val="278F127F"/>
    <w:rsid w:val="27C86E0E"/>
    <w:rsid w:val="27E7584A"/>
    <w:rsid w:val="27F4268D"/>
    <w:rsid w:val="27FA48C2"/>
    <w:rsid w:val="28430CF1"/>
    <w:rsid w:val="28825E6D"/>
    <w:rsid w:val="28B60BD0"/>
    <w:rsid w:val="28BF4261"/>
    <w:rsid w:val="291D313C"/>
    <w:rsid w:val="292D0766"/>
    <w:rsid w:val="293461B3"/>
    <w:rsid w:val="29390097"/>
    <w:rsid w:val="29584891"/>
    <w:rsid w:val="297D55B5"/>
    <w:rsid w:val="297F6381"/>
    <w:rsid w:val="299D769A"/>
    <w:rsid w:val="299E1990"/>
    <w:rsid w:val="29A97661"/>
    <w:rsid w:val="29B502E2"/>
    <w:rsid w:val="29C76E0D"/>
    <w:rsid w:val="29E70DAA"/>
    <w:rsid w:val="29F73976"/>
    <w:rsid w:val="29F85857"/>
    <w:rsid w:val="2A1D4E7B"/>
    <w:rsid w:val="2A333970"/>
    <w:rsid w:val="2A4D10C0"/>
    <w:rsid w:val="2A522B7B"/>
    <w:rsid w:val="2A5A558B"/>
    <w:rsid w:val="2A6428AE"/>
    <w:rsid w:val="2A71789D"/>
    <w:rsid w:val="2A720B27"/>
    <w:rsid w:val="2A781CB8"/>
    <w:rsid w:val="2AB821A5"/>
    <w:rsid w:val="2AC375D4"/>
    <w:rsid w:val="2AE5579D"/>
    <w:rsid w:val="2AF2309B"/>
    <w:rsid w:val="2B0379D1"/>
    <w:rsid w:val="2B0674C1"/>
    <w:rsid w:val="2B14306F"/>
    <w:rsid w:val="2B32003C"/>
    <w:rsid w:val="2B383D69"/>
    <w:rsid w:val="2B4261F3"/>
    <w:rsid w:val="2B5A791F"/>
    <w:rsid w:val="2B5B5D90"/>
    <w:rsid w:val="2B6202D0"/>
    <w:rsid w:val="2B6A4FFF"/>
    <w:rsid w:val="2B6C7FAC"/>
    <w:rsid w:val="2B7D5110"/>
    <w:rsid w:val="2B94774D"/>
    <w:rsid w:val="2BB1567F"/>
    <w:rsid w:val="2BBB64FD"/>
    <w:rsid w:val="2BC74EA2"/>
    <w:rsid w:val="2C0B7AC7"/>
    <w:rsid w:val="2C372B89"/>
    <w:rsid w:val="2C3F712F"/>
    <w:rsid w:val="2C425EFD"/>
    <w:rsid w:val="2C602C01"/>
    <w:rsid w:val="2C926DE6"/>
    <w:rsid w:val="2C940452"/>
    <w:rsid w:val="2CA47768"/>
    <w:rsid w:val="2CBC0782"/>
    <w:rsid w:val="2CC164DB"/>
    <w:rsid w:val="2CC16E9C"/>
    <w:rsid w:val="2CCB6C14"/>
    <w:rsid w:val="2CE33D81"/>
    <w:rsid w:val="2CE403A4"/>
    <w:rsid w:val="2CF25F4F"/>
    <w:rsid w:val="2D0B5A36"/>
    <w:rsid w:val="2D317848"/>
    <w:rsid w:val="2D410C84"/>
    <w:rsid w:val="2D4D61EF"/>
    <w:rsid w:val="2D6D1A79"/>
    <w:rsid w:val="2D9B4590"/>
    <w:rsid w:val="2DB038C9"/>
    <w:rsid w:val="2DB74D25"/>
    <w:rsid w:val="2DEE6B35"/>
    <w:rsid w:val="2DF13843"/>
    <w:rsid w:val="2E1343CF"/>
    <w:rsid w:val="2E2B2FB9"/>
    <w:rsid w:val="2E463F5E"/>
    <w:rsid w:val="2E4B1DBB"/>
    <w:rsid w:val="2E513149"/>
    <w:rsid w:val="2E6B5FB9"/>
    <w:rsid w:val="2EAB1D3E"/>
    <w:rsid w:val="2EBF3FE5"/>
    <w:rsid w:val="2EC158B7"/>
    <w:rsid w:val="2EC21D60"/>
    <w:rsid w:val="2F0F2DE8"/>
    <w:rsid w:val="2F4131BE"/>
    <w:rsid w:val="2F452FD4"/>
    <w:rsid w:val="2F4A02C4"/>
    <w:rsid w:val="2F554142"/>
    <w:rsid w:val="2F5A65EF"/>
    <w:rsid w:val="2F5D0378"/>
    <w:rsid w:val="2F5F228D"/>
    <w:rsid w:val="2F7602B9"/>
    <w:rsid w:val="2F7B66D0"/>
    <w:rsid w:val="2F9C75F8"/>
    <w:rsid w:val="2FA45E5F"/>
    <w:rsid w:val="2FA776F8"/>
    <w:rsid w:val="2FB13E9F"/>
    <w:rsid w:val="2FCC1E8D"/>
    <w:rsid w:val="2FD5799A"/>
    <w:rsid w:val="2FD87462"/>
    <w:rsid w:val="2FF41FDE"/>
    <w:rsid w:val="2FFD0E93"/>
    <w:rsid w:val="3007550E"/>
    <w:rsid w:val="30095877"/>
    <w:rsid w:val="302152FB"/>
    <w:rsid w:val="302E54F0"/>
    <w:rsid w:val="30360848"/>
    <w:rsid w:val="30362A1C"/>
    <w:rsid w:val="303E427C"/>
    <w:rsid w:val="30575F86"/>
    <w:rsid w:val="305E413A"/>
    <w:rsid w:val="3080548E"/>
    <w:rsid w:val="30BC620E"/>
    <w:rsid w:val="30BD074C"/>
    <w:rsid w:val="30BF2AA3"/>
    <w:rsid w:val="30D02EA0"/>
    <w:rsid w:val="30EC5B80"/>
    <w:rsid w:val="30F009F7"/>
    <w:rsid w:val="30F524B2"/>
    <w:rsid w:val="311B1CD2"/>
    <w:rsid w:val="31275DB8"/>
    <w:rsid w:val="313D6696"/>
    <w:rsid w:val="313F234A"/>
    <w:rsid w:val="3143791A"/>
    <w:rsid w:val="3175777A"/>
    <w:rsid w:val="31B50F67"/>
    <w:rsid w:val="31CE6D63"/>
    <w:rsid w:val="31E7004C"/>
    <w:rsid w:val="321A3484"/>
    <w:rsid w:val="322F42FD"/>
    <w:rsid w:val="323517DA"/>
    <w:rsid w:val="32537490"/>
    <w:rsid w:val="325F7B06"/>
    <w:rsid w:val="328D00D7"/>
    <w:rsid w:val="32911D66"/>
    <w:rsid w:val="32A2681D"/>
    <w:rsid w:val="32A47BBB"/>
    <w:rsid w:val="32C75788"/>
    <w:rsid w:val="32D6101E"/>
    <w:rsid w:val="32DD1D6E"/>
    <w:rsid w:val="32DF0D23"/>
    <w:rsid w:val="32F6606D"/>
    <w:rsid w:val="33073952"/>
    <w:rsid w:val="331D39EC"/>
    <w:rsid w:val="33313126"/>
    <w:rsid w:val="333F17C2"/>
    <w:rsid w:val="334F40FB"/>
    <w:rsid w:val="335F1E64"/>
    <w:rsid w:val="337A26B0"/>
    <w:rsid w:val="3381624D"/>
    <w:rsid w:val="33910AAE"/>
    <w:rsid w:val="33A83573"/>
    <w:rsid w:val="33AD0E22"/>
    <w:rsid w:val="33B13C22"/>
    <w:rsid w:val="33F86541"/>
    <w:rsid w:val="340D6737"/>
    <w:rsid w:val="3431536F"/>
    <w:rsid w:val="34337579"/>
    <w:rsid w:val="34507FC5"/>
    <w:rsid w:val="3489645D"/>
    <w:rsid w:val="348F66B3"/>
    <w:rsid w:val="349259D0"/>
    <w:rsid w:val="34955668"/>
    <w:rsid w:val="34963664"/>
    <w:rsid w:val="34E00D83"/>
    <w:rsid w:val="34E6283D"/>
    <w:rsid w:val="34E73EBF"/>
    <w:rsid w:val="34EC597A"/>
    <w:rsid w:val="34F5230B"/>
    <w:rsid w:val="350B2204"/>
    <w:rsid w:val="35125108"/>
    <w:rsid w:val="35156C7E"/>
    <w:rsid w:val="35187015"/>
    <w:rsid w:val="351B0795"/>
    <w:rsid w:val="354457B6"/>
    <w:rsid w:val="355A0B35"/>
    <w:rsid w:val="358838F4"/>
    <w:rsid w:val="358B3A56"/>
    <w:rsid w:val="35951B6D"/>
    <w:rsid w:val="35AB5E41"/>
    <w:rsid w:val="35CB37E1"/>
    <w:rsid w:val="35F0676F"/>
    <w:rsid w:val="35FC28B6"/>
    <w:rsid w:val="3608524B"/>
    <w:rsid w:val="36322170"/>
    <w:rsid w:val="3632503A"/>
    <w:rsid w:val="36442A84"/>
    <w:rsid w:val="3679323D"/>
    <w:rsid w:val="367F2852"/>
    <w:rsid w:val="36880696"/>
    <w:rsid w:val="36A10B0A"/>
    <w:rsid w:val="36E36B73"/>
    <w:rsid w:val="36E763F9"/>
    <w:rsid w:val="36FF4A43"/>
    <w:rsid w:val="370E5C3E"/>
    <w:rsid w:val="372423F9"/>
    <w:rsid w:val="373516EC"/>
    <w:rsid w:val="373C3D9B"/>
    <w:rsid w:val="37441BA5"/>
    <w:rsid w:val="378366B5"/>
    <w:rsid w:val="37CD11BA"/>
    <w:rsid w:val="37E84153"/>
    <w:rsid w:val="37FC3F92"/>
    <w:rsid w:val="382B1513"/>
    <w:rsid w:val="384722D3"/>
    <w:rsid w:val="3848392C"/>
    <w:rsid w:val="385913CF"/>
    <w:rsid w:val="38904E27"/>
    <w:rsid w:val="389930AD"/>
    <w:rsid w:val="38A05F80"/>
    <w:rsid w:val="38A46F78"/>
    <w:rsid w:val="38AB4708"/>
    <w:rsid w:val="38B62526"/>
    <w:rsid w:val="38D20124"/>
    <w:rsid w:val="38F65110"/>
    <w:rsid w:val="391E3DDF"/>
    <w:rsid w:val="39227BBC"/>
    <w:rsid w:val="3942200C"/>
    <w:rsid w:val="394A0EC1"/>
    <w:rsid w:val="39A3728C"/>
    <w:rsid w:val="39A6259B"/>
    <w:rsid w:val="39B256A7"/>
    <w:rsid w:val="39E508C8"/>
    <w:rsid w:val="39FA6443"/>
    <w:rsid w:val="3A0F0981"/>
    <w:rsid w:val="3A123FC9"/>
    <w:rsid w:val="3A4B1000"/>
    <w:rsid w:val="3A667F7C"/>
    <w:rsid w:val="3A706705"/>
    <w:rsid w:val="3A8A03C9"/>
    <w:rsid w:val="3A953B65"/>
    <w:rsid w:val="3AA00C9C"/>
    <w:rsid w:val="3AAF36D1"/>
    <w:rsid w:val="3AB14898"/>
    <w:rsid w:val="3ABD5DEE"/>
    <w:rsid w:val="3AE15A4B"/>
    <w:rsid w:val="3AF065EC"/>
    <w:rsid w:val="3B064ACC"/>
    <w:rsid w:val="3B45677A"/>
    <w:rsid w:val="3B551801"/>
    <w:rsid w:val="3B664D4A"/>
    <w:rsid w:val="3B9823B7"/>
    <w:rsid w:val="3B984165"/>
    <w:rsid w:val="3BA873D0"/>
    <w:rsid w:val="3BB42FEE"/>
    <w:rsid w:val="3BB61305"/>
    <w:rsid w:val="3BD92207"/>
    <w:rsid w:val="3BE02BAB"/>
    <w:rsid w:val="3BFB6A17"/>
    <w:rsid w:val="3C04285B"/>
    <w:rsid w:val="3C10416D"/>
    <w:rsid w:val="3C106627"/>
    <w:rsid w:val="3C311010"/>
    <w:rsid w:val="3C4B32F9"/>
    <w:rsid w:val="3C4E0CC8"/>
    <w:rsid w:val="3C6D55F2"/>
    <w:rsid w:val="3C7C1FAE"/>
    <w:rsid w:val="3C926485"/>
    <w:rsid w:val="3C9A5CBB"/>
    <w:rsid w:val="3C9C5ED7"/>
    <w:rsid w:val="3CB70C90"/>
    <w:rsid w:val="3CF36D38"/>
    <w:rsid w:val="3CF95FDA"/>
    <w:rsid w:val="3CF972CC"/>
    <w:rsid w:val="3D002AA0"/>
    <w:rsid w:val="3D021290"/>
    <w:rsid w:val="3D163594"/>
    <w:rsid w:val="3D1D3D08"/>
    <w:rsid w:val="3D4E1F6F"/>
    <w:rsid w:val="3DB2110E"/>
    <w:rsid w:val="3DBC3BB4"/>
    <w:rsid w:val="3DC2371B"/>
    <w:rsid w:val="3DDB13A7"/>
    <w:rsid w:val="3DEB7781"/>
    <w:rsid w:val="3DF71617"/>
    <w:rsid w:val="3DFF227A"/>
    <w:rsid w:val="3E002AFD"/>
    <w:rsid w:val="3E083824"/>
    <w:rsid w:val="3E1164FA"/>
    <w:rsid w:val="3E2A7B5D"/>
    <w:rsid w:val="3E46434D"/>
    <w:rsid w:val="3E4A04A9"/>
    <w:rsid w:val="3EB3199B"/>
    <w:rsid w:val="3EC7548D"/>
    <w:rsid w:val="3ED65F75"/>
    <w:rsid w:val="3EF9191E"/>
    <w:rsid w:val="3F1E4982"/>
    <w:rsid w:val="3F222004"/>
    <w:rsid w:val="3F2C3542"/>
    <w:rsid w:val="3F375A43"/>
    <w:rsid w:val="3F3A7637"/>
    <w:rsid w:val="3F3F17BC"/>
    <w:rsid w:val="3F4D34B9"/>
    <w:rsid w:val="3F5860E5"/>
    <w:rsid w:val="3F5B3E28"/>
    <w:rsid w:val="3F9E4156"/>
    <w:rsid w:val="3FC01EDD"/>
    <w:rsid w:val="3FC6776F"/>
    <w:rsid w:val="3FD31C10"/>
    <w:rsid w:val="400235FD"/>
    <w:rsid w:val="40356427"/>
    <w:rsid w:val="403706FB"/>
    <w:rsid w:val="40381C21"/>
    <w:rsid w:val="404C0682"/>
    <w:rsid w:val="406A53D5"/>
    <w:rsid w:val="406B7EEE"/>
    <w:rsid w:val="40A84E4B"/>
    <w:rsid w:val="40CD3273"/>
    <w:rsid w:val="40D01AC6"/>
    <w:rsid w:val="40E26B4B"/>
    <w:rsid w:val="40E63BC5"/>
    <w:rsid w:val="41305485"/>
    <w:rsid w:val="41406845"/>
    <w:rsid w:val="41764468"/>
    <w:rsid w:val="417A52FF"/>
    <w:rsid w:val="41AC7E24"/>
    <w:rsid w:val="41CA7043"/>
    <w:rsid w:val="41EC4524"/>
    <w:rsid w:val="41F7610E"/>
    <w:rsid w:val="41FD6BC9"/>
    <w:rsid w:val="420710FC"/>
    <w:rsid w:val="421225C9"/>
    <w:rsid w:val="4214206C"/>
    <w:rsid w:val="42254279"/>
    <w:rsid w:val="424A6DFD"/>
    <w:rsid w:val="424B1F31"/>
    <w:rsid w:val="42552DB0"/>
    <w:rsid w:val="42760D90"/>
    <w:rsid w:val="427D3076"/>
    <w:rsid w:val="428E17BC"/>
    <w:rsid w:val="42A71B3E"/>
    <w:rsid w:val="42B1224B"/>
    <w:rsid w:val="42DC54E3"/>
    <w:rsid w:val="42ED5D63"/>
    <w:rsid w:val="435A5D07"/>
    <w:rsid w:val="435B784F"/>
    <w:rsid w:val="4366652C"/>
    <w:rsid w:val="43690A14"/>
    <w:rsid w:val="43713C1A"/>
    <w:rsid w:val="43805C0B"/>
    <w:rsid w:val="4383655E"/>
    <w:rsid w:val="438B5E94"/>
    <w:rsid w:val="43BB6C43"/>
    <w:rsid w:val="43BF66A2"/>
    <w:rsid w:val="43F959BD"/>
    <w:rsid w:val="440B543C"/>
    <w:rsid w:val="44185E43"/>
    <w:rsid w:val="44322B24"/>
    <w:rsid w:val="44330ECF"/>
    <w:rsid w:val="444636FD"/>
    <w:rsid w:val="444F7553"/>
    <w:rsid w:val="4452781A"/>
    <w:rsid w:val="44562E10"/>
    <w:rsid w:val="447F5EC2"/>
    <w:rsid w:val="44A27E03"/>
    <w:rsid w:val="44BC7116"/>
    <w:rsid w:val="44C04908"/>
    <w:rsid w:val="44C955B3"/>
    <w:rsid w:val="44D04970"/>
    <w:rsid w:val="44DE00A4"/>
    <w:rsid w:val="44E64193"/>
    <w:rsid w:val="44EE4DF6"/>
    <w:rsid w:val="44F41EEB"/>
    <w:rsid w:val="45121D48"/>
    <w:rsid w:val="452757A2"/>
    <w:rsid w:val="45327054"/>
    <w:rsid w:val="45455339"/>
    <w:rsid w:val="455D75F1"/>
    <w:rsid w:val="4565155C"/>
    <w:rsid w:val="456A6B72"/>
    <w:rsid w:val="457F5A3A"/>
    <w:rsid w:val="45822147"/>
    <w:rsid w:val="45945CCA"/>
    <w:rsid w:val="45A01265"/>
    <w:rsid w:val="45A44BA8"/>
    <w:rsid w:val="45C2075D"/>
    <w:rsid w:val="45D62811"/>
    <w:rsid w:val="45D76EA1"/>
    <w:rsid w:val="45F02F30"/>
    <w:rsid w:val="45F91A8D"/>
    <w:rsid w:val="46477391"/>
    <w:rsid w:val="467D2390"/>
    <w:rsid w:val="46933EA7"/>
    <w:rsid w:val="46D9612E"/>
    <w:rsid w:val="46E240BA"/>
    <w:rsid w:val="46E80BA5"/>
    <w:rsid w:val="46EA3BD5"/>
    <w:rsid w:val="47022DDB"/>
    <w:rsid w:val="47074669"/>
    <w:rsid w:val="470B6133"/>
    <w:rsid w:val="471020BE"/>
    <w:rsid w:val="47282841"/>
    <w:rsid w:val="47297759"/>
    <w:rsid w:val="47392CA0"/>
    <w:rsid w:val="47486A40"/>
    <w:rsid w:val="480E1067"/>
    <w:rsid w:val="481401FB"/>
    <w:rsid w:val="48150A92"/>
    <w:rsid w:val="481E7FB1"/>
    <w:rsid w:val="484713ED"/>
    <w:rsid w:val="48592193"/>
    <w:rsid w:val="4877323D"/>
    <w:rsid w:val="48B53801"/>
    <w:rsid w:val="48BF7970"/>
    <w:rsid w:val="48D4503C"/>
    <w:rsid w:val="48DF1760"/>
    <w:rsid w:val="48E3168E"/>
    <w:rsid w:val="48E7221D"/>
    <w:rsid w:val="48EA7BFF"/>
    <w:rsid w:val="49036DB2"/>
    <w:rsid w:val="49154A1A"/>
    <w:rsid w:val="492E7EB7"/>
    <w:rsid w:val="4944592C"/>
    <w:rsid w:val="495035D1"/>
    <w:rsid w:val="49753D38"/>
    <w:rsid w:val="49967F8F"/>
    <w:rsid w:val="49B91005"/>
    <w:rsid w:val="49ED32D5"/>
    <w:rsid w:val="49FD6207"/>
    <w:rsid w:val="4A160145"/>
    <w:rsid w:val="4A1D0657"/>
    <w:rsid w:val="4A367C80"/>
    <w:rsid w:val="4A3F0B91"/>
    <w:rsid w:val="4A490FFE"/>
    <w:rsid w:val="4A552973"/>
    <w:rsid w:val="4A5C528E"/>
    <w:rsid w:val="4A7A6B17"/>
    <w:rsid w:val="4AC558BD"/>
    <w:rsid w:val="4AEA1597"/>
    <w:rsid w:val="4B074E64"/>
    <w:rsid w:val="4B197735"/>
    <w:rsid w:val="4B236DB2"/>
    <w:rsid w:val="4B2577B7"/>
    <w:rsid w:val="4B5A10FF"/>
    <w:rsid w:val="4B73439A"/>
    <w:rsid w:val="4B887DF4"/>
    <w:rsid w:val="4BA36352"/>
    <w:rsid w:val="4BAC23BA"/>
    <w:rsid w:val="4BBA6CCA"/>
    <w:rsid w:val="4BBB745F"/>
    <w:rsid w:val="4BC81178"/>
    <w:rsid w:val="4BCA6E75"/>
    <w:rsid w:val="4BD16B60"/>
    <w:rsid w:val="4BD861D5"/>
    <w:rsid w:val="4BDC1E4C"/>
    <w:rsid w:val="4BEB157F"/>
    <w:rsid w:val="4BEC402B"/>
    <w:rsid w:val="4C023181"/>
    <w:rsid w:val="4C1157A5"/>
    <w:rsid w:val="4C1B0225"/>
    <w:rsid w:val="4C203C30"/>
    <w:rsid w:val="4C281C67"/>
    <w:rsid w:val="4C2F5118"/>
    <w:rsid w:val="4C51283A"/>
    <w:rsid w:val="4C957F69"/>
    <w:rsid w:val="4CAC7A71"/>
    <w:rsid w:val="4CB701C3"/>
    <w:rsid w:val="4CFB6302"/>
    <w:rsid w:val="4D3A5067"/>
    <w:rsid w:val="4D3E2F09"/>
    <w:rsid w:val="4D5172B6"/>
    <w:rsid w:val="4D682185"/>
    <w:rsid w:val="4D89519D"/>
    <w:rsid w:val="4D8A4F84"/>
    <w:rsid w:val="4D9E6A9E"/>
    <w:rsid w:val="4DAB2408"/>
    <w:rsid w:val="4DC74DF3"/>
    <w:rsid w:val="4DC86B2C"/>
    <w:rsid w:val="4DCB351E"/>
    <w:rsid w:val="4DCC08E1"/>
    <w:rsid w:val="4DEA4CF4"/>
    <w:rsid w:val="4E1F514F"/>
    <w:rsid w:val="4E214E7D"/>
    <w:rsid w:val="4E376377"/>
    <w:rsid w:val="4E4B110D"/>
    <w:rsid w:val="4E73111A"/>
    <w:rsid w:val="4E797B02"/>
    <w:rsid w:val="4E7C2874"/>
    <w:rsid w:val="4E913538"/>
    <w:rsid w:val="4EA053B3"/>
    <w:rsid w:val="4EA07161"/>
    <w:rsid w:val="4EC70B92"/>
    <w:rsid w:val="4EE24780"/>
    <w:rsid w:val="4EF74E1B"/>
    <w:rsid w:val="4F0C319E"/>
    <w:rsid w:val="4F302BDB"/>
    <w:rsid w:val="4F4E03AE"/>
    <w:rsid w:val="4F50502B"/>
    <w:rsid w:val="4F5F7A8D"/>
    <w:rsid w:val="4F730D1A"/>
    <w:rsid w:val="4FAF33B6"/>
    <w:rsid w:val="4FC32C96"/>
    <w:rsid w:val="4FC34BCA"/>
    <w:rsid w:val="4FCF2EF9"/>
    <w:rsid w:val="4FE6764F"/>
    <w:rsid w:val="50244FE2"/>
    <w:rsid w:val="503513F9"/>
    <w:rsid w:val="504A5B44"/>
    <w:rsid w:val="505D3AF3"/>
    <w:rsid w:val="506C1E0D"/>
    <w:rsid w:val="50722D7F"/>
    <w:rsid w:val="5089203D"/>
    <w:rsid w:val="5090570F"/>
    <w:rsid w:val="50942CF5"/>
    <w:rsid w:val="509764FC"/>
    <w:rsid w:val="509B18BD"/>
    <w:rsid w:val="509B50CD"/>
    <w:rsid w:val="50D61560"/>
    <w:rsid w:val="50E44644"/>
    <w:rsid w:val="50EC48E0"/>
    <w:rsid w:val="510A120A"/>
    <w:rsid w:val="51171CB7"/>
    <w:rsid w:val="514F30C0"/>
    <w:rsid w:val="51552EBF"/>
    <w:rsid w:val="516A7EFA"/>
    <w:rsid w:val="51735001"/>
    <w:rsid w:val="518E1E3B"/>
    <w:rsid w:val="51A125F2"/>
    <w:rsid w:val="51A60F32"/>
    <w:rsid w:val="51A7590C"/>
    <w:rsid w:val="51C2184D"/>
    <w:rsid w:val="51D11D27"/>
    <w:rsid w:val="51D16E30"/>
    <w:rsid w:val="52021F07"/>
    <w:rsid w:val="520C2D5F"/>
    <w:rsid w:val="521E31BF"/>
    <w:rsid w:val="52402014"/>
    <w:rsid w:val="527207EA"/>
    <w:rsid w:val="52846D9A"/>
    <w:rsid w:val="528B3072"/>
    <w:rsid w:val="52B92EE7"/>
    <w:rsid w:val="52BE22AC"/>
    <w:rsid w:val="52C323C2"/>
    <w:rsid w:val="52C570BA"/>
    <w:rsid w:val="52EA2F15"/>
    <w:rsid w:val="52ED3E32"/>
    <w:rsid w:val="52EF3062"/>
    <w:rsid w:val="530B573C"/>
    <w:rsid w:val="530D1FE5"/>
    <w:rsid w:val="53211FE5"/>
    <w:rsid w:val="534978A1"/>
    <w:rsid w:val="534E63CE"/>
    <w:rsid w:val="5351481A"/>
    <w:rsid w:val="537C32B8"/>
    <w:rsid w:val="539574B0"/>
    <w:rsid w:val="53A00F97"/>
    <w:rsid w:val="53A86703"/>
    <w:rsid w:val="53BC2C8F"/>
    <w:rsid w:val="53D375CC"/>
    <w:rsid w:val="53E03DDE"/>
    <w:rsid w:val="54087910"/>
    <w:rsid w:val="540C5423"/>
    <w:rsid w:val="54104D89"/>
    <w:rsid w:val="545253A1"/>
    <w:rsid w:val="54627710"/>
    <w:rsid w:val="5486329D"/>
    <w:rsid w:val="54AC6A3E"/>
    <w:rsid w:val="54AD2716"/>
    <w:rsid w:val="54CC5154"/>
    <w:rsid w:val="54FF71FA"/>
    <w:rsid w:val="55013AA6"/>
    <w:rsid w:val="55057DD5"/>
    <w:rsid w:val="550B0666"/>
    <w:rsid w:val="550B27BD"/>
    <w:rsid w:val="55432F3C"/>
    <w:rsid w:val="55444707"/>
    <w:rsid w:val="55461EA7"/>
    <w:rsid w:val="559B68D4"/>
    <w:rsid w:val="55AE6607"/>
    <w:rsid w:val="55AF05D2"/>
    <w:rsid w:val="55B55BE8"/>
    <w:rsid w:val="55C220B3"/>
    <w:rsid w:val="55C4407D"/>
    <w:rsid w:val="55D825CD"/>
    <w:rsid w:val="55DD5D78"/>
    <w:rsid w:val="55E069DD"/>
    <w:rsid w:val="55ED3855"/>
    <w:rsid w:val="56156687"/>
    <w:rsid w:val="561849C3"/>
    <w:rsid w:val="562A022D"/>
    <w:rsid w:val="56315893"/>
    <w:rsid w:val="56327239"/>
    <w:rsid w:val="56337E88"/>
    <w:rsid w:val="563D3E2F"/>
    <w:rsid w:val="568775B9"/>
    <w:rsid w:val="568E4762"/>
    <w:rsid w:val="569E1ED4"/>
    <w:rsid w:val="56A45C5C"/>
    <w:rsid w:val="56C41B53"/>
    <w:rsid w:val="56D71B8E"/>
    <w:rsid w:val="570D3802"/>
    <w:rsid w:val="571B0924"/>
    <w:rsid w:val="572648C3"/>
    <w:rsid w:val="5728063B"/>
    <w:rsid w:val="5785783C"/>
    <w:rsid w:val="57965E76"/>
    <w:rsid w:val="57B93023"/>
    <w:rsid w:val="57E154BB"/>
    <w:rsid w:val="57EF1661"/>
    <w:rsid w:val="58060A2E"/>
    <w:rsid w:val="580738AF"/>
    <w:rsid w:val="58114944"/>
    <w:rsid w:val="5829305C"/>
    <w:rsid w:val="5866766D"/>
    <w:rsid w:val="58864699"/>
    <w:rsid w:val="589849FA"/>
    <w:rsid w:val="58B02697"/>
    <w:rsid w:val="58B24993"/>
    <w:rsid w:val="58BC103B"/>
    <w:rsid w:val="58CB0E4B"/>
    <w:rsid w:val="58CD4E39"/>
    <w:rsid w:val="58F509F1"/>
    <w:rsid w:val="592617F0"/>
    <w:rsid w:val="59360912"/>
    <w:rsid w:val="59400C47"/>
    <w:rsid w:val="594C0B32"/>
    <w:rsid w:val="595359D2"/>
    <w:rsid w:val="596B480F"/>
    <w:rsid w:val="597436C4"/>
    <w:rsid w:val="59863214"/>
    <w:rsid w:val="59A00B8C"/>
    <w:rsid w:val="59B62DE5"/>
    <w:rsid w:val="59B75628"/>
    <w:rsid w:val="59C46A24"/>
    <w:rsid w:val="59CA6D8E"/>
    <w:rsid w:val="59D16D68"/>
    <w:rsid w:val="59F4739A"/>
    <w:rsid w:val="5A084EAA"/>
    <w:rsid w:val="5A0A1EEA"/>
    <w:rsid w:val="5A3C31FC"/>
    <w:rsid w:val="5A44753A"/>
    <w:rsid w:val="5A517EA9"/>
    <w:rsid w:val="5A567971"/>
    <w:rsid w:val="5A7F4A16"/>
    <w:rsid w:val="5A934BB2"/>
    <w:rsid w:val="5A977C52"/>
    <w:rsid w:val="5A9F6E67"/>
    <w:rsid w:val="5AA56FCC"/>
    <w:rsid w:val="5ADE798F"/>
    <w:rsid w:val="5AEB2094"/>
    <w:rsid w:val="5AF75C29"/>
    <w:rsid w:val="5AFD426B"/>
    <w:rsid w:val="5B4A5024"/>
    <w:rsid w:val="5B4A519E"/>
    <w:rsid w:val="5B5639C9"/>
    <w:rsid w:val="5B5E462C"/>
    <w:rsid w:val="5B641DB3"/>
    <w:rsid w:val="5B837AD7"/>
    <w:rsid w:val="5B8C7D9D"/>
    <w:rsid w:val="5B9F28CE"/>
    <w:rsid w:val="5BA652E6"/>
    <w:rsid w:val="5BB64468"/>
    <w:rsid w:val="5BCC6FBC"/>
    <w:rsid w:val="5BD52630"/>
    <w:rsid w:val="5BDF5D9B"/>
    <w:rsid w:val="5BE76D3B"/>
    <w:rsid w:val="5C3E620B"/>
    <w:rsid w:val="5C42102C"/>
    <w:rsid w:val="5C4952DC"/>
    <w:rsid w:val="5C547852"/>
    <w:rsid w:val="5C554717"/>
    <w:rsid w:val="5C67058D"/>
    <w:rsid w:val="5CBD35D4"/>
    <w:rsid w:val="5CC20BEA"/>
    <w:rsid w:val="5CF341B9"/>
    <w:rsid w:val="5CFF7AF6"/>
    <w:rsid w:val="5D100DF6"/>
    <w:rsid w:val="5D235B2D"/>
    <w:rsid w:val="5D243653"/>
    <w:rsid w:val="5D350B63"/>
    <w:rsid w:val="5D433481"/>
    <w:rsid w:val="5D433C16"/>
    <w:rsid w:val="5D7F6ADB"/>
    <w:rsid w:val="5D8840DC"/>
    <w:rsid w:val="5D8F4486"/>
    <w:rsid w:val="5D964053"/>
    <w:rsid w:val="5D9F6D66"/>
    <w:rsid w:val="5DAA01B2"/>
    <w:rsid w:val="5DCB3ACF"/>
    <w:rsid w:val="5DE06C75"/>
    <w:rsid w:val="5DE27796"/>
    <w:rsid w:val="5E211941"/>
    <w:rsid w:val="5E40706E"/>
    <w:rsid w:val="5E541D16"/>
    <w:rsid w:val="5E6235C5"/>
    <w:rsid w:val="5E652175"/>
    <w:rsid w:val="5E833E55"/>
    <w:rsid w:val="5E887C0A"/>
    <w:rsid w:val="5EAA549F"/>
    <w:rsid w:val="5EAB1D4B"/>
    <w:rsid w:val="5ED320A1"/>
    <w:rsid w:val="5EEF41D1"/>
    <w:rsid w:val="5EF1021D"/>
    <w:rsid w:val="5EFF1A82"/>
    <w:rsid w:val="5F0B4ACB"/>
    <w:rsid w:val="5F1718F4"/>
    <w:rsid w:val="5F232447"/>
    <w:rsid w:val="5F2B6F44"/>
    <w:rsid w:val="5F3C5233"/>
    <w:rsid w:val="5F826609"/>
    <w:rsid w:val="5F8C75B0"/>
    <w:rsid w:val="5F9116E1"/>
    <w:rsid w:val="5FA8056B"/>
    <w:rsid w:val="5FCF5AF8"/>
    <w:rsid w:val="5FF108BB"/>
    <w:rsid w:val="5FFC2665"/>
    <w:rsid w:val="601B0DA4"/>
    <w:rsid w:val="601F11E4"/>
    <w:rsid w:val="60227B1C"/>
    <w:rsid w:val="602D6CC3"/>
    <w:rsid w:val="60471B32"/>
    <w:rsid w:val="607C2FC8"/>
    <w:rsid w:val="608476F5"/>
    <w:rsid w:val="608C39E9"/>
    <w:rsid w:val="608F5287"/>
    <w:rsid w:val="60A818ED"/>
    <w:rsid w:val="60B24609"/>
    <w:rsid w:val="60B847DE"/>
    <w:rsid w:val="60D1764E"/>
    <w:rsid w:val="61056289"/>
    <w:rsid w:val="610B3130"/>
    <w:rsid w:val="61147DCD"/>
    <w:rsid w:val="61273712"/>
    <w:rsid w:val="61294BB7"/>
    <w:rsid w:val="61416E51"/>
    <w:rsid w:val="61686BC3"/>
    <w:rsid w:val="61B858D7"/>
    <w:rsid w:val="61FF0CB1"/>
    <w:rsid w:val="622F3C52"/>
    <w:rsid w:val="62350749"/>
    <w:rsid w:val="62720D3E"/>
    <w:rsid w:val="62787A0B"/>
    <w:rsid w:val="629B6165"/>
    <w:rsid w:val="62B671D9"/>
    <w:rsid w:val="62B80C1C"/>
    <w:rsid w:val="62CC27C3"/>
    <w:rsid w:val="62D96C8E"/>
    <w:rsid w:val="62EC04CB"/>
    <w:rsid w:val="62ED080B"/>
    <w:rsid w:val="62F123AB"/>
    <w:rsid w:val="63172026"/>
    <w:rsid w:val="633F79F1"/>
    <w:rsid w:val="63422A85"/>
    <w:rsid w:val="63770981"/>
    <w:rsid w:val="637835A4"/>
    <w:rsid w:val="6381535B"/>
    <w:rsid w:val="638D5B0E"/>
    <w:rsid w:val="638E777A"/>
    <w:rsid w:val="63AA6ECC"/>
    <w:rsid w:val="63FC70D8"/>
    <w:rsid w:val="640146EE"/>
    <w:rsid w:val="640939CF"/>
    <w:rsid w:val="6424218B"/>
    <w:rsid w:val="645065C1"/>
    <w:rsid w:val="64656A2B"/>
    <w:rsid w:val="646838F6"/>
    <w:rsid w:val="64937F1F"/>
    <w:rsid w:val="64B55BD1"/>
    <w:rsid w:val="64D4595F"/>
    <w:rsid w:val="64DF3AA4"/>
    <w:rsid w:val="64E33DF4"/>
    <w:rsid w:val="65094753"/>
    <w:rsid w:val="650B1842"/>
    <w:rsid w:val="65151742"/>
    <w:rsid w:val="65165F77"/>
    <w:rsid w:val="651E1AA8"/>
    <w:rsid w:val="65242B34"/>
    <w:rsid w:val="657A4758"/>
    <w:rsid w:val="658C7FE7"/>
    <w:rsid w:val="65901886"/>
    <w:rsid w:val="65905D55"/>
    <w:rsid w:val="65AA4481"/>
    <w:rsid w:val="65C63DF6"/>
    <w:rsid w:val="65DD4873"/>
    <w:rsid w:val="65E93EAB"/>
    <w:rsid w:val="660C0F78"/>
    <w:rsid w:val="66102EEF"/>
    <w:rsid w:val="6616462D"/>
    <w:rsid w:val="665F4262"/>
    <w:rsid w:val="666527A6"/>
    <w:rsid w:val="6673513F"/>
    <w:rsid w:val="668C4743"/>
    <w:rsid w:val="668F5FE1"/>
    <w:rsid w:val="66944911"/>
    <w:rsid w:val="66B678E4"/>
    <w:rsid w:val="66F17634"/>
    <w:rsid w:val="66FE4D6E"/>
    <w:rsid w:val="670966CA"/>
    <w:rsid w:val="671D516B"/>
    <w:rsid w:val="672506F4"/>
    <w:rsid w:val="672901E4"/>
    <w:rsid w:val="67454032"/>
    <w:rsid w:val="674E044F"/>
    <w:rsid w:val="675E7EDE"/>
    <w:rsid w:val="6779459B"/>
    <w:rsid w:val="677D408C"/>
    <w:rsid w:val="678E5C16"/>
    <w:rsid w:val="679B2764"/>
    <w:rsid w:val="67AE06E9"/>
    <w:rsid w:val="67B101D9"/>
    <w:rsid w:val="67DA328C"/>
    <w:rsid w:val="67E01406"/>
    <w:rsid w:val="67E759A9"/>
    <w:rsid w:val="67ED4936"/>
    <w:rsid w:val="681A7528"/>
    <w:rsid w:val="682C20FD"/>
    <w:rsid w:val="6832131A"/>
    <w:rsid w:val="68330BEE"/>
    <w:rsid w:val="683706DE"/>
    <w:rsid w:val="683F3A37"/>
    <w:rsid w:val="684D3296"/>
    <w:rsid w:val="685E13B0"/>
    <w:rsid w:val="687B3B97"/>
    <w:rsid w:val="68FD6D89"/>
    <w:rsid w:val="68FE2FAA"/>
    <w:rsid w:val="690F0772"/>
    <w:rsid w:val="69204BE9"/>
    <w:rsid w:val="69605DC0"/>
    <w:rsid w:val="696B3725"/>
    <w:rsid w:val="699851AD"/>
    <w:rsid w:val="69C239E3"/>
    <w:rsid w:val="69DB620D"/>
    <w:rsid w:val="69E55EC3"/>
    <w:rsid w:val="69E76134"/>
    <w:rsid w:val="69F12E3D"/>
    <w:rsid w:val="6A132089"/>
    <w:rsid w:val="6A1C4030"/>
    <w:rsid w:val="6A265779"/>
    <w:rsid w:val="6A3C022E"/>
    <w:rsid w:val="6A450D51"/>
    <w:rsid w:val="6A5F7A23"/>
    <w:rsid w:val="6A7E67B9"/>
    <w:rsid w:val="6A957A73"/>
    <w:rsid w:val="6AAB0F48"/>
    <w:rsid w:val="6AB2229E"/>
    <w:rsid w:val="6AC750D9"/>
    <w:rsid w:val="6ACA6AB1"/>
    <w:rsid w:val="6AE00A57"/>
    <w:rsid w:val="6B054F5F"/>
    <w:rsid w:val="6B1946BE"/>
    <w:rsid w:val="6B2A452A"/>
    <w:rsid w:val="6B3C107E"/>
    <w:rsid w:val="6B424016"/>
    <w:rsid w:val="6B565891"/>
    <w:rsid w:val="6B6C4B43"/>
    <w:rsid w:val="6B8754D9"/>
    <w:rsid w:val="6BDF4621"/>
    <w:rsid w:val="6C3B6EFD"/>
    <w:rsid w:val="6C4C227F"/>
    <w:rsid w:val="6C726189"/>
    <w:rsid w:val="6C87604D"/>
    <w:rsid w:val="6C8A7EF6"/>
    <w:rsid w:val="6CBF1A77"/>
    <w:rsid w:val="6CDB0DCF"/>
    <w:rsid w:val="6CEE76E6"/>
    <w:rsid w:val="6D1B19F3"/>
    <w:rsid w:val="6D393C59"/>
    <w:rsid w:val="6D4E1B44"/>
    <w:rsid w:val="6D687D9C"/>
    <w:rsid w:val="6D7C20EE"/>
    <w:rsid w:val="6D8A7BC9"/>
    <w:rsid w:val="6DAF2ACC"/>
    <w:rsid w:val="6DBD6947"/>
    <w:rsid w:val="6DC730DB"/>
    <w:rsid w:val="6DCA5EE2"/>
    <w:rsid w:val="6DD86BE4"/>
    <w:rsid w:val="6DDA7707"/>
    <w:rsid w:val="6DDB1B0C"/>
    <w:rsid w:val="6DE235DE"/>
    <w:rsid w:val="6DEE04C9"/>
    <w:rsid w:val="6DF74D86"/>
    <w:rsid w:val="6E004635"/>
    <w:rsid w:val="6E195A27"/>
    <w:rsid w:val="6E1A1332"/>
    <w:rsid w:val="6E35516A"/>
    <w:rsid w:val="6E386F5E"/>
    <w:rsid w:val="6E5429F4"/>
    <w:rsid w:val="6E5F098F"/>
    <w:rsid w:val="6E746730"/>
    <w:rsid w:val="6E8D5F3C"/>
    <w:rsid w:val="6E9E14B7"/>
    <w:rsid w:val="6EAD466A"/>
    <w:rsid w:val="6EBF1CF5"/>
    <w:rsid w:val="6EFC46CE"/>
    <w:rsid w:val="6F1057E5"/>
    <w:rsid w:val="6F5650E5"/>
    <w:rsid w:val="6F683873"/>
    <w:rsid w:val="6F6C793A"/>
    <w:rsid w:val="6F80296B"/>
    <w:rsid w:val="6F805492"/>
    <w:rsid w:val="6F86110B"/>
    <w:rsid w:val="6F8A1A3C"/>
    <w:rsid w:val="6FB275FF"/>
    <w:rsid w:val="6FC7059A"/>
    <w:rsid w:val="6FF46EB5"/>
    <w:rsid w:val="701576CF"/>
    <w:rsid w:val="70187047"/>
    <w:rsid w:val="701F1A2E"/>
    <w:rsid w:val="70202A74"/>
    <w:rsid w:val="70212270"/>
    <w:rsid w:val="70293003"/>
    <w:rsid w:val="70531E2E"/>
    <w:rsid w:val="70792023"/>
    <w:rsid w:val="70983CE4"/>
    <w:rsid w:val="70AE175A"/>
    <w:rsid w:val="70D016D0"/>
    <w:rsid w:val="70EA08A8"/>
    <w:rsid w:val="70FC24C5"/>
    <w:rsid w:val="7123090F"/>
    <w:rsid w:val="712D585E"/>
    <w:rsid w:val="71433539"/>
    <w:rsid w:val="715D1C51"/>
    <w:rsid w:val="71672415"/>
    <w:rsid w:val="7169742F"/>
    <w:rsid w:val="718610EE"/>
    <w:rsid w:val="718D5813"/>
    <w:rsid w:val="71D40D4C"/>
    <w:rsid w:val="721C15A1"/>
    <w:rsid w:val="72206163"/>
    <w:rsid w:val="72367C59"/>
    <w:rsid w:val="727D01E4"/>
    <w:rsid w:val="728165DE"/>
    <w:rsid w:val="72901CD2"/>
    <w:rsid w:val="729A1F96"/>
    <w:rsid w:val="72A937F2"/>
    <w:rsid w:val="72BE1B66"/>
    <w:rsid w:val="72DF4A42"/>
    <w:rsid w:val="72F83160"/>
    <w:rsid w:val="733675FE"/>
    <w:rsid w:val="7337093E"/>
    <w:rsid w:val="73511A21"/>
    <w:rsid w:val="735651E8"/>
    <w:rsid w:val="73700F48"/>
    <w:rsid w:val="73907B2B"/>
    <w:rsid w:val="73AA445A"/>
    <w:rsid w:val="73AB4284"/>
    <w:rsid w:val="73F531FC"/>
    <w:rsid w:val="73F90B0D"/>
    <w:rsid w:val="73F90B84"/>
    <w:rsid w:val="740F42BD"/>
    <w:rsid w:val="74112B0D"/>
    <w:rsid w:val="741F6689"/>
    <w:rsid w:val="745B39A7"/>
    <w:rsid w:val="74CE5F89"/>
    <w:rsid w:val="74E06E6A"/>
    <w:rsid w:val="75036D78"/>
    <w:rsid w:val="7538369D"/>
    <w:rsid w:val="75391E25"/>
    <w:rsid w:val="754946B4"/>
    <w:rsid w:val="754A3F6D"/>
    <w:rsid w:val="75610B49"/>
    <w:rsid w:val="75616D9B"/>
    <w:rsid w:val="757F55BE"/>
    <w:rsid w:val="759D3840"/>
    <w:rsid w:val="75BF393D"/>
    <w:rsid w:val="75C13CDD"/>
    <w:rsid w:val="75D06954"/>
    <w:rsid w:val="75D71849"/>
    <w:rsid w:val="75F87A94"/>
    <w:rsid w:val="760D2A7F"/>
    <w:rsid w:val="7611305C"/>
    <w:rsid w:val="761A6C9B"/>
    <w:rsid w:val="76314D06"/>
    <w:rsid w:val="763A0EBD"/>
    <w:rsid w:val="764010A6"/>
    <w:rsid w:val="764723BF"/>
    <w:rsid w:val="76872831"/>
    <w:rsid w:val="769675D4"/>
    <w:rsid w:val="769E3365"/>
    <w:rsid w:val="76AE4262"/>
    <w:rsid w:val="76B04A00"/>
    <w:rsid w:val="76D4359C"/>
    <w:rsid w:val="76F70396"/>
    <w:rsid w:val="76FF686B"/>
    <w:rsid w:val="77345776"/>
    <w:rsid w:val="774A3937"/>
    <w:rsid w:val="775424A3"/>
    <w:rsid w:val="776F0ECB"/>
    <w:rsid w:val="77746E69"/>
    <w:rsid w:val="777E3838"/>
    <w:rsid w:val="77803736"/>
    <w:rsid w:val="778F44E3"/>
    <w:rsid w:val="77905CD2"/>
    <w:rsid w:val="779276DF"/>
    <w:rsid w:val="77DF669D"/>
    <w:rsid w:val="77E26A99"/>
    <w:rsid w:val="77F42C57"/>
    <w:rsid w:val="780F0586"/>
    <w:rsid w:val="781310F2"/>
    <w:rsid w:val="781D6071"/>
    <w:rsid w:val="782B116C"/>
    <w:rsid w:val="7830627A"/>
    <w:rsid w:val="78393BDC"/>
    <w:rsid w:val="78436C2C"/>
    <w:rsid w:val="78A57D13"/>
    <w:rsid w:val="79064124"/>
    <w:rsid w:val="7919798C"/>
    <w:rsid w:val="79294073"/>
    <w:rsid w:val="79327854"/>
    <w:rsid w:val="79380CC7"/>
    <w:rsid w:val="793B7903"/>
    <w:rsid w:val="7950374D"/>
    <w:rsid w:val="79866AFB"/>
    <w:rsid w:val="79983451"/>
    <w:rsid w:val="79A41C12"/>
    <w:rsid w:val="79A641CF"/>
    <w:rsid w:val="79C126F9"/>
    <w:rsid w:val="79D27E18"/>
    <w:rsid w:val="7A1A1ED2"/>
    <w:rsid w:val="7A797B09"/>
    <w:rsid w:val="7A82429D"/>
    <w:rsid w:val="7AA240DD"/>
    <w:rsid w:val="7ADD3367"/>
    <w:rsid w:val="7AE53FCA"/>
    <w:rsid w:val="7AF216B7"/>
    <w:rsid w:val="7B373E1E"/>
    <w:rsid w:val="7B4810E0"/>
    <w:rsid w:val="7B4A207F"/>
    <w:rsid w:val="7B6B692C"/>
    <w:rsid w:val="7B7A1751"/>
    <w:rsid w:val="7B8775F1"/>
    <w:rsid w:val="7B890DF9"/>
    <w:rsid w:val="7B8D44D7"/>
    <w:rsid w:val="7BA55101"/>
    <w:rsid w:val="7BBF6E92"/>
    <w:rsid w:val="7BD77CC4"/>
    <w:rsid w:val="7BDF7FF2"/>
    <w:rsid w:val="7BE424D4"/>
    <w:rsid w:val="7C281A42"/>
    <w:rsid w:val="7C3B241E"/>
    <w:rsid w:val="7C407D3A"/>
    <w:rsid w:val="7C5769D0"/>
    <w:rsid w:val="7C7800E2"/>
    <w:rsid w:val="7C8056F2"/>
    <w:rsid w:val="7C9440DB"/>
    <w:rsid w:val="7CB43026"/>
    <w:rsid w:val="7CCB3116"/>
    <w:rsid w:val="7D2E23FF"/>
    <w:rsid w:val="7D3134F6"/>
    <w:rsid w:val="7D481B6C"/>
    <w:rsid w:val="7D5158A4"/>
    <w:rsid w:val="7D5C72B8"/>
    <w:rsid w:val="7D5F62B6"/>
    <w:rsid w:val="7D657644"/>
    <w:rsid w:val="7DC425BD"/>
    <w:rsid w:val="7DCF7BE9"/>
    <w:rsid w:val="7DD30A52"/>
    <w:rsid w:val="7DD86068"/>
    <w:rsid w:val="7DE02638"/>
    <w:rsid w:val="7DE31D74"/>
    <w:rsid w:val="7E100013"/>
    <w:rsid w:val="7E2748F9"/>
    <w:rsid w:val="7E531884"/>
    <w:rsid w:val="7E7A5224"/>
    <w:rsid w:val="7EA5698F"/>
    <w:rsid w:val="7EAB72D9"/>
    <w:rsid w:val="7EB548F6"/>
    <w:rsid w:val="7ED15D8E"/>
    <w:rsid w:val="7F210AFD"/>
    <w:rsid w:val="7F2C666B"/>
    <w:rsid w:val="7F347273"/>
    <w:rsid w:val="7F3E7A7E"/>
    <w:rsid w:val="7F4B6D8D"/>
    <w:rsid w:val="7F6112CB"/>
    <w:rsid w:val="7FA27243"/>
    <w:rsid w:val="7FB97C60"/>
    <w:rsid w:val="7FD7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line="560" w:lineRule="exact"/>
      <w:ind w:firstLine="964" w:firstLineChars="200"/>
      <w:jc w:val="left"/>
      <w:outlineLvl w:val="1"/>
    </w:pPr>
    <w:rPr>
      <w:rFonts w:ascii="Arial" w:hAnsi="Arial" w:eastAsia="楷体_GB2312"/>
      <w:spacing w:val="0"/>
      <w:sz w:val="32"/>
    </w:rPr>
  </w:style>
  <w:style w:type="paragraph" w:styleId="5">
    <w:name w:val="heading 3"/>
    <w:basedOn w:val="1"/>
    <w:next w:val="1"/>
    <w:unhideWhenUsed/>
    <w:qFormat/>
    <w:uiPriority w:val="0"/>
    <w:pPr>
      <w:keepNext/>
      <w:keepLines/>
      <w:spacing w:beforeLines="0" w:beforeAutospacing="0" w:afterLines="0" w:afterAutospacing="0" w:line="360" w:lineRule="auto"/>
      <w:ind w:firstLine="643" w:firstLineChars="200"/>
      <w:outlineLvl w:val="2"/>
    </w:pPr>
    <w:rPr>
      <w:rFonts w:eastAsia="楷体"/>
      <w:b/>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autoRedefine/>
    <w:qFormat/>
    <w:uiPriority w:val="0"/>
    <w:pPr>
      <w:adjustRightInd w:val="0"/>
      <w:snapToGrid w:val="0"/>
      <w:ind w:firstLine="640" w:firstLineChars="200"/>
    </w:pPr>
    <w:rPr>
      <w:szCs w:val="22"/>
    </w:rPr>
  </w:style>
  <w:style w:type="paragraph" w:styleId="6">
    <w:name w:val="table of authorities"/>
    <w:basedOn w:val="1"/>
    <w:next w:val="1"/>
    <w:autoRedefine/>
    <w:semiHidden/>
    <w:qFormat/>
    <w:uiPriority w:val="0"/>
    <w:pPr>
      <w:ind w:left="420" w:leftChars="200"/>
    </w:pPr>
  </w:style>
  <w:style w:type="paragraph" w:styleId="7">
    <w:name w:val="index 8"/>
    <w:basedOn w:val="1"/>
    <w:next w:val="1"/>
    <w:autoRedefine/>
    <w:qFormat/>
    <w:uiPriority w:val="0"/>
    <w:pPr>
      <w:tabs>
        <w:tab w:val="left" w:pos="540"/>
        <w:tab w:val="left" w:pos="900"/>
      </w:tabs>
      <w:jc w:val="center"/>
    </w:pPr>
    <w:rPr>
      <w:rFonts w:ascii="宋体" w:hAnsi="宋体" w:cs="宋体"/>
      <w:color w:val="000000"/>
      <w:sz w:val="32"/>
      <w:szCs w:val="32"/>
    </w:rPr>
  </w:style>
  <w:style w:type="paragraph" w:styleId="8">
    <w:name w:val="Normal Indent"/>
    <w:basedOn w:val="1"/>
    <w:next w:val="9"/>
    <w:autoRedefine/>
    <w:qFormat/>
    <w:uiPriority w:val="99"/>
    <w:pPr>
      <w:spacing w:line="360" w:lineRule="atLeast"/>
      <w:ind w:firstLine="200" w:firstLineChars="200"/>
    </w:pPr>
    <w:rPr>
      <w:sz w:val="24"/>
    </w:rPr>
  </w:style>
  <w:style w:type="paragraph" w:styleId="9">
    <w:name w:val="Body Text"/>
    <w:basedOn w:val="1"/>
    <w:autoRedefine/>
    <w:qFormat/>
    <w:uiPriority w:val="1"/>
    <w:pPr>
      <w:ind w:left="211"/>
    </w:pPr>
    <w:rPr>
      <w:sz w:val="32"/>
      <w:szCs w:val="32"/>
    </w:rPr>
  </w:style>
  <w:style w:type="paragraph" w:styleId="10">
    <w:name w:val="annotation text"/>
    <w:basedOn w:val="1"/>
    <w:autoRedefine/>
    <w:qFormat/>
    <w:uiPriority w:val="0"/>
    <w:pPr>
      <w:jc w:val="left"/>
    </w:pPr>
  </w:style>
  <w:style w:type="paragraph" w:styleId="11">
    <w:name w:val="Body Text Indent"/>
    <w:basedOn w:val="1"/>
    <w:autoRedefine/>
    <w:unhideWhenUsed/>
    <w:qFormat/>
    <w:uiPriority w:val="99"/>
    <w:pPr>
      <w:spacing w:after="120"/>
      <w:ind w:left="420" w:leftChars="2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autoRedefine/>
    <w:qFormat/>
    <w:uiPriority w:val="0"/>
    <w:pPr>
      <w:spacing w:before="240" w:after="60" w:line="312" w:lineRule="auto"/>
      <w:jc w:val="center"/>
      <w:outlineLvl w:val="1"/>
    </w:pPr>
    <w:rPr>
      <w:rFonts w:ascii="等线 Light" w:hAnsi="等线 Light" w:cs="Times New Roman"/>
      <w:b/>
      <w:bCs/>
      <w:kern w:val="28"/>
      <w:sz w:val="32"/>
      <w:szCs w:val="32"/>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paragraph" w:styleId="17">
    <w:name w:val="Body Text First Indent"/>
    <w:basedOn w:val="9"/>
    <w:next w:val="2"/>
    <w:autoRedefine/>
    <w:qFormat/>
    <w:uiPriority w:val="0"/>
    <w:pPr>
      <w:ind w:firstLine="420" w:firstLineChars="100"/>
    </w:pPr>
  </w:style>
  <w:style w:type="character" w:customStyle="1" w:styleId="20">
    <w:name w:val="NormalCharacter"/>
    <w:autoRedefine/>
    <w:qFormat/>
    <w:uiPriority w:val="0"/>
    <w:rPr>
      <w:rFonts w:ascii="Times New Roman" w:hAnsi="Times New Roman" w:eastAsia="宋体" w:cs="Times New Roman"/>
      <w:spacing w:val="-20"/>
      <w:kern w:val="2"/>
      <w:sz w:val="21"/>
      <w:szCs w:val="24"/>
      <w:lang w:val="en-US" w:eastAsia="zh-CN" w:bidi="ar-SA"/>
    </w:rPr>
  </w:style>
  <w:style w:type="paragraph" w:customStyle="1" w:styleId="21">
    <w:name w:val="UserStyle_10"/>
    <w:basedOn w:val="1"/>
    <w:autoRedefine/>
    <w:qFormat/>
    <w:uiPriority w:val="0"/>
    <w:pPr>
      <w:widowControl/>
      <w:ind w:firstLine="420" w:firstLineChars="200"/>
      <w:textAlignment w:val="baseline"/>
    </w:pPr>
    <w:rPr>
      <w:rFonts w:cstheme="minorBidi"/>
      <w:spacing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4897</Words>
  <Characters>5178</Characters>
  <Lines>0</Lines>
  <Paragraphs>0</Paragraphs>
  <TotalTime>1</TotalTime>
  <ScaleCrop>false</ScaleCrop>
  <LinksUpToDate>false</LinksUpToDate>
  <CharactersWithSpaces>5213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2021-08-17T08:13:00Z</dcterms:created>
  <dc:creator>苏苏</dc:creator>
  <cp:lastModifiedBy>魑魅魍魉</cp:lastModifiedBy>
  <cp:lastPrinted>2024-08-12T07:36:00Z</cp:lastPrinted>
  <dcterms:modified xsi:type="dcterms:W3CDTF">2026-07-22T07:51:20Z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7CA3B8DD9F5042148CF44FFEA04D7144_13</vt:lpwstr>
  </property>
  <property fmtid="{D5CDD505-2E9C-101B-9397-08002B2CF9AE}" pid="4" name="KSOTemplateDocerSaveRecord">
    <vt:lpwstr>eyJoZGlkIjoiZTA2YzU3ZWI0MTI1Njg2YjRkYTI5MGYyYjI4Mzk5MmYiLCJ1c2VySWQiOiIzNDg5MzQ1NzQifQ==</vt:lpwstr>
  </property>
</Properties>
</file>