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0259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1C31FD5A">
      <w:pPr>
        <w:spacing w:before="0" w:beforeLines="0" w:after="0" w:afterLines="0" w:line="240" w:lineRule="auto"/>
        <w:ind w:left="0" w:leftChars="0" w:right="0" w:rightChars="0" w:firstLine="0" w:firstLineChars="0"/>
        <w:jc w:val="center"/>
        <w:rPr>
          <w:rFonts w:hint="eastAsia" w:ascii="新宋体" w:hAnsi="新宋体" w:eastAsia="新宋体" w:cs="新宋体"/>
          <w:b/>
          <w:bCs/>
          <w:sz w:val="52"/>
          <w:szCs w:val="52"/>
          <w:lang w:eastAsia="zh-CN"/>
        </w:rPr>
      </w:pPr>
    </w:p>
    <w:p w14:paraId="38C89DEF">
      <w:pPr>
        <w:spacing w:before="0" w:beforeLines="0" w:after="0" w:afterLines="0" w:line="240" w:lineRule="auto"/>
        <w:ind w:left="0" w:leftChars="0" w:right="0" w:rightChars="0" w:firstLine="0" w:firstLineChars="0"/>
        <w:jc w:val="center"/>
        <w:rPr>
          <w:rFonts w:hint="eastAsia" w:ascii="新宋体" w:hAnsi="新宋体" w:eastAsia="新宋体" w:cs="新宋体"/>
          <w:b/>
          <w:bCs/>
          <w:sz w:val="52"/>
          <w:szCs w:val="52"/>
          <w:lang w:val="en-US" w:eastAsia="zh-CN"/>
        </w:rPr>
      </w:pPr>
      <w:r>
        <w:rPr>
          <w:rFonts w:hint="eastAsia" w:ascii="新宋体" w:hAnsi="新宋体" w:eastAsia="新宋体" w:cs="新宋体"/>
          <w:b/>
          <w:bCs/>
          <w:sz w:val="52"/>
          <w:szCs w:val="52"/>
          <w:lang w:eastAsia="zh-CN"/>
        </w:rPr>
        <w:t>扎赉特旗国民经济和社会发展第十四个五年规划和</w:t>
      </w:r>
      <w:r>
        <w:rPr>
          <w:rFonts w:hint="eastAsia" w:ascii="新宋体" w:hAnsi="新宋体" w:eastAsia="新宋体" w:cs="新宋体"/>
          <w:b/>
          <w:bCs/>
          <w:sz w:val="52"/>
          <w:szCs w:val="52"/>
          <w:lang w:val="en-US" w:eastAsia="zh-CN"/>
        </w:rPr>
        <w:t>2035年远景</w:t>
      </w:r>
    </w:p>
    <w:p w14:paraId="126EBFAB">
      <w:pPr>
        <w:spacing w:before="0" w:beforeLines="0" w:after="0" w:afterLines="0" w:line="240" w:lineRule="auto"/>
        <w:ind w:left="0" w:leftChars="0" w:right="0" w:rightChars="0" w:firstLine="0" w:firstLineChars="0"/>
        <w:jc w:val="center"/>
        <w:rPr>
          <w:rFonts w:hint="eastAsia" w:ascii="新宋体" w:hAnsi="新宋体" w:eastAsia="新宋体" w:cs="新宋体"/>
          <w:b/>
          <w:bCs/>
          <w:sz w:val="52"/>
          <w:szCs w:val="52"/>
          <w:lang w:val="en-US" w:eastAsia="zh-CN"/>
        </w:rPr>
      </w:pPr>
      <w:r>
        <w:rPr>
          <w:rFonts w:hint="eastAsia" w:ascii="新宋体" w:hAnsi="新宋体" w:eastAsia="新宋体" w:cs="新宋体"/>
          <w:b/>
          <w:bCs/>
          <w:sz w:val="52"/>
          <w:szCs w:val="52"/>
          <w:lang w:val="en-US" w:eastAsia="zh-CN"/>
        </w:rPr>
        <w:t>目标纲要</w:t>
      </w:r>
    </w:p>
    <w:p w14:paraId="1F22A50D">
      <w:pPr>
        <w:pStyle w:val="2"/>
        <w:rPr>
          <w:rFonts w:hint="eastAsia" w:ascii="新宋体" w:hAnsi="新宋体" w:eastAsia="新宋体" w:cs="新宋体"/>
          <w:b/>
          <w:bCs/>
          <w:sz w:val="72"/>
          <w:szCs w:val="72"/>
          <w:lang w:val="en-US" w:eastAsia="zh-CN"/>
        </w:rPr>
      </w:pPr>
    </w:p>
    <w:p w14:paraId="67C3D691">
      <w:pPr>
        <w:pStyle w:val="2"/>
        <w:rPr>
          <w:rFonts w:hint="eastAsia" w:ascii="方正粗黑宋简体" w:hAnsi="方正粗黑宋简体" w:eastAsia="方正粗黑宋简体" w:cs="方正粗黑宋简体"/>
          <w:sz w:val="72"/>
          <w:szCs w:val="72"/>
          <w:lang w:val="en-US" w:eastAsia="zh-CN"/>
        </w:rPr>
      </w:pPr>
    </w:p>
    <w:p w14:paraId="5E03E88D">
      <w:pPr>
        <w:pStyle w:val="2"/>
        <w:rPr>
          <w:rFonts w:hint="eastAsia" w:ascii="方正粗黑宋简体" w:hAnsi="方正粗黑宋简体" w:eastAsia="方正粗黑宋简体" w:cs="方正粗黑宋简体"/>
          <w:sz w:val="72"/>
          <w:szCs w:val="72"/>
          <w:lang w:val="en-US" w:eastAsia="zh-CN"/>
        </w:rPr>
      </w:pPr>
    </w:p>
    <w:p w14:paraId="315FE634">
      <w:pPr>
        <w:pStyle w:val="2"/>
        <w:rPr>
          <w:rFonts w:hint="eastAsia" w:ascii="方正粗黑宋简体" w:hAnsi="方正粗黑宋简体" w:eastAsia="方正粗黑宋简体" w:cs="方正粗黑宋简体"/>
          <w:sz w:val="72"/>
          <w:szCs w:val="72"/>
          <w:lang w:val="en-US" w:eastAsia="zh-CN"/>
        </w:rPr>
      </w:pPr>
    </w:p>
    <w:p w14:paraId="65C85CE2">
      <w:pPr>
        <w:pStyle w:val="2"/>
        <w:rPr>
          <w:rFonts w:hint="eastAsia" w:ascii="方正粗黑宋简体" w:hAnsi="方正粗黑宋简体" w:eastAsia="方正粗黑宋简体" w:cs="方正粗黑宋简体"/>
          <w:sz w:val="72"/>
          <w:szCs w:val="72"/>
          <w:lang w:val="en-US" w:eastAsia="zh-CN"/>
        </w:rPr>
      </w:pPr>
    </w:p>
    <w:p w14:paraId="19FC1354">
      <w:pPr>
        <w:pStyle w:val="2"/>
        <w:rPr>
          <w:rFonts w:hint="eastAsia" w:ascii="方正粗黑宋简体" w:hAnsi="方正粗黑宋简体" w:eastAsia="方正粗黑宋简体" w:cs="方正粗黑宋简体"/>
          <w:sz w:val="72"/>
          <w:szCs w:val="72"/>
          <w:lang w:val="en-US" w:eastAsia="zh-CN"/>
        </w:rPr>
      </w:pPr>
    </w:p>
    <w:p w14:paraId="06B2238D">
      <w:pPr>
        <w:pStyle w:val="2"/>
        <w:jc w:val="center"/>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扎赉特旗人民政府</w:t>
      </w:r>
    </w:p>
    <w:p w14:paraId="6BC15FAD">
      <w:pPr>
        <w:pStyle w:val="2"/>
        <w:jc w:val="center"/>
        <w:rPr>
          <w:rFonts w:hint="eastAsia" w:ascii="新宋体" w:hAnsi="新宋体" w:eastAsia="新宋体" w:cs="新宋体"/>
          <w:b/>
          <w:bCs/>
          <w:sz w:val="44"/>
          <w:szCs w:val="44"/>
          <w:lang w:val="en-US" w:eastAsia="zh-CN"/>
        </w:rPr>
      </w:pPr>
      <w:r>
        <w:rPr>
          <w:rFonts w:hint="eastAsia" w:ascii="新宋体" w:hAnsi="新宋体" w:eastAsia="新宋体" w:cs="新宋体"/>
          <w:b/>
          <w:bCs/>
          <w:sz w:val="36"/>
          <w:szCs w:val="36"/>
          <w:lang w:val="en-US" w:eastAsia="zh-CN"/>
        </w:rPr>
        <w:t>二〇二一年三月</w:t>
      </w:r>
    </w:p>
    <w:sdt>
      <w:sdtPr>
        <w:rPr>
          <w:rFonts w:hint="eastAsia" w:ascii="新宋体" w:hAnsi="新宋体" w:eastAsia="新宋体" w:cs="新宋体"/>
          <w:b/>
          <w:bCs/>
          <w:kern w:val="2"/>
          <w:sz w:val="21"/>
          <w:szCs w:val="24"/>
          <w:lang w:val="en-US" w:eastAsia="zh-CN" w:bidi="ar-SA"/>
        </w:rPr>
        <w:id w:val="147475779"/>
        <w15:color w:val="DBDBDB"/>
        <w:docPartObj>
          <w:docPartGallery w:val="Table of Contents"/>
          <w:docPartUnique/>
        </w:docPartObj>
      </w:sdtPr>
      <w:sdtEndPr>
        <w:rPr>
          <w:rFonts w:hint="eastAsia" w:ascii="新宋体" w:hAnsi="新宋体" w:eastAsia="新宋体" w:cs="新宋体"/>
          <w:b/>
          <w:bCs/>
          <w:kern w:val="2"/>
          <w:sz w:val="28"/>
          <w:szCs w:val="28"/>
          <w:lang w:val="en-US" w:eastAsia="zh-CN" w:bidi="ar-SA"/>
        </w:rPr>
      </w:sdtEndPr>
      <w:sdtContent>
        <w:p w14:paraId="6C237534">
          <w:pPr>
            <w:pStyle w:val="2"/>
            <w:jc w:val="center"/>
            <w:rPr>
              <w:rFonts w:hint="eastAsia" w:ascii="新宋体" w:hAnsi="新宋体" w:eastAsia="新宋体" w:cs="新宋体"/>
              <w:b/>
              <w:bCs/>
              <w:kern w:val="2"/>
              <w:sz w:val="21"/>
              <w:szCs w:val="24"/>
              <w:lang w:val="en-US" w:eastAsia="zh-CN" w:bidi="ar-SA"/>
            </w:rPr>
          </w:pPr>
        </w:p>
        <w:p w14:paraId="3BFCC46A">
          <w:pPr>
            <w:pStyle w:val="2"/>
            <w:rPr>
              <w:rFonts w:hint="eastAsia" w:ascii="新宋体" w:hAnsi="新宋体" w:eastAsia="新宋体" w:cs="新宋体"/>
              <w:b/>
              <w:bCs/>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8642783">
          <w:pPr>
            <w:spacing w:before="0" w:beforeLines="0" w:after="0" w:afterLines="0" w:line="240" w:lineRule="auto"/>
            <w:ind w:left="0" w:leftChars="0" w:right="0" w:rightChars="0" w:firstLine="0" w:firstLineChars="0"/>
            <w:jc w:val="center"/>
            <w:rPr>
              <w:rFonts w:hint="eastAsia" w:ascii="黑体" w:hAnsi="黑体" w:eastAsia="黑体" w:cs="黑体"/>
              <w:b/>
              <w:bCs/>
              <w:sz w:val="48"/>
              <w:szCs w:val="48"/>
            </w:rPr>
          </w:pPr>
          <w:r>
            <w:rPr>
              <w:rFonts w:hint="eastAsia" w:ascii="黑体" w:hAnsi="黑体" w:eastAsia="黑体" w:cs="黑体"/>
              <w:b/>
              <w:bCs/>
              <w:sz w:val="48"/>
              <w:szCs w:val="48"/>
            </w:rPr>
            <w:t>目</w:t>
          </w:r>
          <w:r>
            <w:rPr>
              <w:rFonts w:hint="eastAsia" w:ascii="黑体" w:hAnsi="黑体" w:eastAsia="黑体" w:cs="黑体"/>
              <w:b/>
              <w:bCs/>
              <w:sz w:val="48"/>
              <w:szCs w:val="48"/>
              <w:lang w:eastAsia="zh-CN"/>
            </w:rPr>
            <w:t>　　</w:t>
          </w:r>
          <w:r>
            <w:rPr>
              <w:rFonts w:hint="eastAsia" w:ascii="黑体" w:hAnsi="黑体" w:eastAsia="黑体" w:cs="黑体"/>
              <w:b/>
              <w:bCs/>
              <w:sz w:val="48"/>
              <w:szCs w:val="48"/>
            </w:rPr>
            <w:t>录</w:t>
          </w:r>
        </w:p>
        <w:p w14:paraId="606EB034">
          <w:pPr>
            <w:pStyle w:val="17"/>
            <w:tabs>
              <w:tab w:val="right" w:pos="3200"/>
              <w:tab w:val="right" w:leader="dot" w:pos="8306"/>
            </w:tabs>
            <w:rPr>
              <w:b/>
              <w:sz w:val="28"/>
              <w:szCs w:val="28"/>
            </w:rPr>
          </w:pPr>
          <w:r>
            <w:rPr>
              <w:sz w:val="28"/>
              <w:szCs w:val="28"/>
            </w:rPr>
            <w:fldChar w:fldCharType="begin"/>
          </w:r>
          <w:r>
            <w:rPr>
              <w:sz w:val="28"/>
              <w:szCs w:val="28"/>
            </w:rPr>
            <w:instrText xml:space="preserve">TOC \o "1-2" \h \u </w:instrText>
          </w:r>
          <w:r>
            <w:rPr>
              <w:sz w:val="28"/>
              <w:szCs w:val="28"/>
            </w:rPr>
            <w:fldChar w:fldCharType="separate"/>
          </w:r>
        </w:p>
        <w:p w14:paraId="0347377F">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_Toc4299 </w:instrText>
          </w:r>
          <w:r>
            <w:rPr>
              <w:b/>
              <w:sz w:val="24"/>
              <w:szCs w:val="24"/>
            </w:rPr>
            <w:fldChar w:fldCharType="separate"/>
          </w:r>
          <w:r>
            <w:rPr>
              <w:rFonts w:hint="eastAsia" w:ascii="黑体" w:hAnsi="黑体" w:eastAsia="黑体" w:cs="黑体"/>
              <w:b/>
              <w:bCs/>
              <w:sz w:val="24"/>
              <w:szCs w:val="24"/>
            </w:rPr>
            <w:t xml:space="preserve">第一章  </w:t>
          </w:r>
          <w:r>
            <w:rPr>
              <w:rFonts w:hint="eastAsia" w:ascii="黑体" w:hAnsi="黑体" w:eastAsia="黑体" w:cs="黑体"/>
              <w:b/>
              <w:bCs/>
              <w:sz w:val="24"/>
              <w:szCs w:val="24"/>
              <w:lang w:eastAsia="zh-CN"/>
            </w:rPr>
            <w:t>奠基蓄力谋发展</w:t>
          </w:r>
          <w:r>
            <w:rPr>
              <w:rFonts w:hint="eastAsia" w:ascii="黑体" w:hAnsi="黑体" w:eastAsia="黑体" w:cs="黑体"/>
              <w:b/>
              <w:bCs/>
              <w:sz w:val="24"/>
              <w:szCs w:val="24"/>
            </w:rPr>
            <w:t>　构筑奋进扎赉特</w:t>
          </w:r>
          <w:r>
            <w:rPr>
              <w:b/>
              <w:sz w:val="24"/>
              <w:szCs w:val="24"/>
            </w:rPr>
            <w:tab/>
          </w:r>
          <w:r>
            <w:rPr>
              <w:b/>
              <w:sz w:val="24"/>
              <w:szCs w:val="24"/>
            </w:rPr>
            <w:fldChar w:fldCharType="begin"/>
          </w:r>
          <w:r>
            <w:rPr>
              <w:b/>
              <w:sz w:val="24"/>
              <w:szCs w:val="24"/>
            </w:rPr>
            <w:instrText xml:space="preserve"> PAGEREF _Toc4299 </w:instrText>
          </w:r>
          <w:r>
            <w:rPr>
              <w:b/>
              <w:sz w:val="24"/>
              <w:szCs w:val="24"/>
            </w:rPr>
            <w:fldChar w:fldCharType="separate"/>
          </w:r>
          <w:r>
            <w:rPr>
              <w:b/>
              <w:sz w:val="24"/>
              <w:szCs w:val="24"/>
            </w:rPr>
            <w:t>2</w:t>
          </w:r>
          <w:r>
            <w:rPr>
              <w:b/>
              <w:sz w:val="24"/>
              <w:szCs w:val="24"/>
            </w:rPr>
            <w:fldChar w:fldCharType="end"/>
          </w:r>
          <w:r>
            <w:rPr>
              <w:b/>
              <w:sz w:val="24"/>
              <w:szCs w:val="24"/>
            </w:rPr>
            <w:fldChar w:fldCharType="end"/>
          </w:r>
        </w:p>
        <w:p w14:paraId="40B64803">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_Toc8733 </w:instrText>
          </w:r>
          <w:r>
            <w:rPr>
              <w:sz w:val="24"/>
              <w:szCs w:val="24"/>
            </w:rPr>
            <w:fldChar w:fldCharType="separate"/>
          </w:r>
          <w:r>
            <w:rPr>
              <w:rFonts w:hint="eastAsia" w:ascii="仿宋" w:hAnsi="仿宋" w:eastAsia="仿宋" w:cs="仿宋"/>
              <w:sz w:val="24"/>
              <w:szCs w:val="24"/>
            </w:rPr>
            <w:t>第一节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发展成就</w:t>
          </w:r>
          <w:r>
            <w:rPr>
              <w:sz w:val="24"/>
              <w:szCs w:val="24"/>
            </w:rPr>
            <w:tab/>
          </w:r>
          <w:r>
            <w:rPr>
              <w:sz w:val="24"/>
              <w:szCs w:val="24"/>
            </w:rPr>
            <w:fldChar w:fldCharType="begin"/>
          </w:r>
          <w:r>
            <w:rPr>
              <w:sz w:val="24"/>
              <w:szCs w:val="24"/>
            </w:rPr>
            <w:instrText xml:space="preserve"> PAGEREF _Toc8733 </w:instrText>
          </w:r>
          <w:r>
            <w:rPr>
              <w:sz w:val="24"/>
              <w:szCs w:val="24"/>
            </w:rPr>
            <w:fldChar w:fldCharType="separate"/>
          </w:r>
          <w:r>
            <w:rPr>
              <w:sz w:val="24"/>
              <w:szCs w:val="24"/>
            </w:rPr>
            <w:t>2</w:t>
          </w:r>
          <w:r>
            <w:rPr>
              <w:sz w:val="24"/>
              <w:szCs w:val="24"/>
            </w:rPr>
            <w:fldChar w:fldCharType="end"/>
          </w:r>
          <w:r>
            <w:rPr>
              <w:sz w:val="24"/>
              <w:szCs w:val="24"/>
            </w:rPr>
            <w:fldChar w:fldCharType="end"/>
          </w:r>
        </w:p>
        <w:p w14:paraId="4A477EC3">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_Toc25060 </w:instrText>
          </w:r>
          <w:r>
            <w:rPr>
              <w:sz w:val="24"/>
              <w:szCs w:val="24"/>
            </w:rPr>
            <w:fldChar w:fldCharType="separate"/>
          </w:r>
          <w:r>
            <w:rPr>
              <w:rFonts w:hint="eastAsia" w:ascii="仿宋" w:hAnsi="仿宋" w:eastAsia="仿宋" w:cs="仿宋"/>
              <w:sz w:val="24"/>
              <w:szCs w:val="24"/>
            </w:rPr>
            <w:t>第二节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面临形势</w:t>
          </w:r>
          <w:r>
            <w:rPr>
              <w:sz w:val="24"/>
              <w:szCs w:val="24"/>
            </w:rPr>
            <w:tab/>
          </w:r>
          <w:r>
            <w:rPr>
              <w:sz w:val="24"/>
              <w:szCs w:val="24"/>
            </w:rPr>
            <w:fldChar w:fldCharType="begin"/>
          </w:r>
          <w:r>
            <w:rPr>
              <w:sz w:val="24"/>
              <w:szCs w:val="24"/>
            </w:rPr>
            <w:instrText xml:space="preserve"> PAGEREF _Toc25060 </w:instrText>
          </w:r>
          <w:r>
            <w:rPr>
              <w:sz w:val="24"/>
              <w:szCs w:val="24"/>
            </w:rPr>
            <w:fldChar w:fldCharType="separate"/>
          </w:r>
          <w:r>
            <w:rPr>
              <w:sz w:val="24"/>
              <w:szCs w:val="24"/>
            </w:rPr>
            <w:t>8</w:t>
          </w:r>
          <w:r>
            <w:rPr>
              <w:sz w:val="24"/>
              <w:szCs w:val="24"/>
            </w:rPr>
            <w:fldChar w:fldCharType="end"/>
          </w:r>
          <w:r>
            <w:rPr>
              <w:sz w:val="24"/>
              <w:szCs w:val="24"/>
            </w:rPr>
            <w:fldChar w:fldCharType="end"/>
          </w:r>
        </w:p>
        <w:p w14:paraId="1941F1BC">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_Toc22217 </w:instrText>
          </w:r>
          <w:r>
            <w:rPr>
              <w:sz w:val="24"/>
              <w:szCs w:val="24"/>
            </w:rPr>
            <w:fldChar w:fldCharType="separate"/>
          </w:r>
          <w:r>
            <w:rPr>
              <w:rFonts w:hint="eastAsia" w:ascii="仿宋" w:hAnsi="仿宋" w:eastAsia="仿宋" w:cs="仿宋"/>
              <w:sz w:val="24"/>
              <w:szCs w:val="24"/>
            </w:rPr>
            <w:t>第三节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发展蓝图</w:t>
          </w:r>
          <w:r>
            <w:rPr>
              <w:sz w:val="24"/>
              <w:szCs w:val="24"/>
            </w:rPr>
            <w:tab/>
          </w:r>
          <w:r>
            <w:rPr>
              <w:sz w:val="24"/>
              <w:szCs w:val="24"/>
            </w:rPr>
            <w:fldChar w:fldCharType="begin"/>
          </w:r>
          <w:r>
            <w:rPr>
              <w:sz w:val="24"/>
              <w:szCs w:val="24"/>
            </w:rPr>
            <w:instrText xml:space="preserve"> PAGEREF _Toc22217 </w:instrText>
          </w:r>
          <w:r>
            <w:rPr>
              <w:sz w:val="24"/>
              <w:szCs w:val="24"/>
            </w:rPr>
            <w:fldChar w:fldCharType="separate"/>
          </w:r>
          <w:r>
            <w:rPr>
              <w:sz w:val="24"/>
              <w:szCs w:val="24"/>
            </w:rPr>
            <w:t>10</w:t>
          </w:r>
          <w:r>
            <w:rPr>
              <w:sz w:val="24"/>
              <w:szCs w:val="24"/>
            </w:rPr>
            <w:fldChar w:fldCharType="end"/>
          </w:r>
          <w:r>
            <w:rPr>
              <w:sz w:val="24"/>
              <w:szCs w:val="24"/>
            </w:rPr>
            <w:fldChar w:fldCharType="end"/>
          </w:r>
        </w:p>
        <w:p w14:paraId="02D971FB">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_Toc27935 </w:instrText>
          </w:r>
          <w:r>
            <w:rPr>
              <w:b/>
              <w:sz w:val="24"/>
              <w:szCs w:val="24"/>
            </w:rPr>
            <w:fldChar w:fldCharType="separate"/>
          </w:r>
          <w:r>
            <w:rPr>
              <w:rFonts w:hint="eastAsia" w:ascii="黑体" w:hAnsi="黑体" w:eastAsia="黑体" w:cs="黑体"/>
              <w:b/>
              <w:bCs w:val="0"/>
              <w:sz w:val="24"/>
              <w:szCs w:val="24"/>
            </w:rPr>
            <w:t xml:space="preserve">第二章 </w:t>
          </w:r>
          <w:r>
            <w:rPr>
              <w:rFonts w:hint="eastAsia" w:ascii="黑体" w:hAnsi="黑体" w:eastAsia="黑体" w:cs="黑体"/>
              <w:b/>
              <w:bCs w:val="0"/>
              <w:sz w:val="24"/>
              <w:szCs w:val="24"/>
              <w:lang w:eastAsia="zh-CN"/>
            </w:rPr>
            <w:t>　</w:t>
          </w:r>
          <w:r>
            <w:rPr>
              <w:rFonts w:hint="eastAsia" w:ascii="黑体" w:hAnsi="黑体" w:eastAsia="黑体" w:cs="黑体"/>
              <w:b/>
              <w:bCs w:val="0"/>
              <w:sz w:val="24"/>
              <w:szCs w:val="24"/>
            </w:rPr>
            <w:t>坚持生态优先 构筑美丽扎赉特</w:t>
          </w:r>
          <w:r>
            <w:rPr>
              <w:b/>
              <w:sz w:val="24"/>
              <w:szCs w:val="24"/>
            </w:rPr>
            <w:tab/>
          </w:r>
          <w:r>
            <w:rPr>
              <w:b/>
              <w:sz w:val="24"/>
              <w:szCs w:val="24"/>
            </w:rPr>
            <w:fldChar w:fldCharType="begin"/>
          </w:r>
          <w:r>
            <w:rPr>
              <w:b/>
              <w:sz w:val="24"/>
              <w:szCs w:val="24"/>
            </w:rPr>
            <w:instrText xml:space="preserve"> PAGEREF _Toc27935 </w:instrText>
          </w:r>
          <w:r>
            <w:rPr>
              <w:b/>
              <w:sz w:val="24"/>
              <w:szCs w:val="24"/>
            </w:rPr>
            <w:fldChar w:fldCharType="separate"/>
          </w:r>
          <w:r>
            <w:rPr>
              <w:b/>
              <w:sz w:val="24"/>
              <w:szCs w:val="24"/>
            </w:rPr>
            <w:t>19</w:t>
          </w:r>
          <w:r>
            <w:rPr>
              <w:b/>
              <w:sz w:val="24"/>
              <w:szCs w:val="24"/>
            </w:rPr>
            <w:fldChar w:fldCharType="end"/>
          </w:r>
          <w:r>
            <w:rPr>
              <w:b/>
              <w:sz w:val="24"/>
              <w:szCs w:val="24"/>
            </w:rPr>
            <w:fldChar w:fldCharType="end"/>
          </w:r>
        </w:p>
        <w:p w14:paraId="4EC0D663">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_Toc22010 </w:instrText>
          </w:r>
          <w:r>
            <w:rPr>
              <w:sz w:val="24"/>
              <w:szCs w:val="24"/>
            </w:rPr>
            <w:fldChar w:fldCharType="separate"/>
          </w:r>
          <w:r>
            <w:rPr>
              <w:rFonts w:hint="eastAsia" w:ascii="仿宋" w:hAnsi="仿宋" w:eastAsia="仿宋" w:cs="仿宋"/>
              <w:sz w:val="24"/>
              <w:szCs w:val="24"/>
            </w:rPr>
            <w:t>第一节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加强生态保护与修复</w:t>
          </w:r>
          <w:r>
            <w:rPr>
              <w:sz w:val="24"/>
              <w:szCs w:val="24"/>
            </w:rPr>
            <w:tab/>
          </w:r>
          <w:r>
            <w:rPr>
              <w:sz w:val="24"/>
              <w:szCs w:val="24"/>
            </w:rPr>
            <w:fldChar w:fldCharType="begin"/>
          </w:r>
          <w:r>
            <w:rPr>
              <w:sz w:val="24"/>
              <w:szCs w:val="24"/>
            </w:rPr>
            <w:instrText xml:space="preserve"> PAGEREF _Toc22010 </w:instrText>
          </w:r>
          <w:r>
            <w:rPr>
              <w:sz w:val="24"/>
              <w:szCs w:val="24"/>
            </w:rPr>
            <w:fldChar w:fldCharType="separate"/>
          </w:r>
          <w:r>
            <w:rPr>
              <w:sz w:val="24"/>
              <w:szCs w:val="24"/>
            </w:rPr>
            <w:t>19</w:t>
          </w:r>
          <w:r>
            <w:rPr>
              <w:sz w:val="24"/>
              <w:szCs w:val="24"/>
            </w:rPr>
            <w:fldChar w:fldCharType="end"/>
          </w:r>
          <w:r>
            <w:rPr>
              <w:sz w:val="24"/>
              <w:szCs w:val="24"/>
            </w:rPr>
            <w:fldChar w:fldCharType="end"/>
          </w:r>
        </w:p>
        <w:p w14:paraId="263F5FF6">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_Toc14080 </w:instrText>
          </w:r>
          <w:r>
            <w:rPr>
              <w:sz w:val="24"/>
              <w:szCs w:val="24"/>
            </w:rPr>
            <w:fldChar w:fldCharType="separate"/>
          </w:r>
          <w:r>
            <w:rPr>
              <w:rFonts w:hint="eastAsia" w:ascii="仿宋" w:hAnsi="仿宋" w:eastAsia="仿宋" w:cs="仿宋"/>
              <w:sz w:val="24"/>
              <w:szCs w:val="24"/>
            </w:rPr>
            <w:t xml:space="preserve">第二节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强化三大国家级自然保护地保护与治理</w:t>
          </w:r>
          <w:r>
            <w:rPr>
              <w:sz w:val="24"/>
              <w:szCs w:val="24"/>
            </w:rPr>
            <w:tab/>
          </w:r>
          <w:r>
            <w:rPr>
              <w:sz w:val="24"/>
              <w:szCs w:val="24"/>
            </w:rPr>
            <w:fldChar w:fldCharType="begin"/>
          </w:r>
          <w:r>
            <w:rPr>
              <w:sz w:val="24"/>
              <w:szCs w:val="24"/>
            </w:rPr>
            <w:instrText xml:space="preserve"> PAGEREF _Toc14080 </w:instrText>
          </w:r>
          <w:r>
            <w:rPr>
              <w:sz w:val="24"/>
              <w:szCs w:val="24"/>
            </w:rPr>
            <w:fldChar w:fldCharType="separate"/>
          </w:r>
          <w:r>
            <w:rPr>
              <w:sz w:val="24"/>
              <w:szCs w:val="24"/>
            </w:rPr>
            <w:t>22</w:t>
          </w:r>
          <w:r>
            <w:rPr>
              <w:sz w:val="24"/>
              <w:szCs w:val="24"/>
            </w:rPr>
            <w:fldChar w:fldCharType="end"/>
          </w:r>
          <w:r>
            <w:rPr>
              <w:sz w:val="24"/>
              <w:szCs w:val="24"/>
            </w:rPr>
            <w:fldChar w:fldCharType="end"/>
          </w:r>
        </w:p>
        <w:p w14:paraId="6469B0C7">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_Toc9118 </w:instrText>
          </w:r>
          <w:r>
            <w:rPr>
              <w:sz w:val="24"/>
              <w:szCs w:val="24"/>
            </w:rPr>
            <w:fldChar w:fldCharType="separate"/>
          </w:r>
          <w:r>
            <w:rPr>
              <w:rFonts w:hint="eastAsia" w:ascii="仿宋" w:hAnsi="仿宋" w:eastAsia="仿宋" w:cs="仿宋"/>
              <w:sz w:val="24"/>
              <w:szCs w:val="24"/>
            </w:rPr>
            <w:t xml:space="preserve">第三节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强化环境污染防治</w:t>
          </w:r>
          <w:r>
            <w:rPr>
              <w:sz w:val="24"/>
              <w:szCs w:val="24"/>
            </w:rPr>
            <w:tab/>
          </w:r>
          <w:r>
            <w:rPr>
              <w:sz w:val="24"/>
              <w:szCs w:val="24"/>
            </w:rPr>
            <w:fldChar w:fldCharType="begin"/>
          </w:r>
          <w:r>
            <w:rPr>
              <w:sz w:val="24"/>
              <w:szCs w:val="24"/>
            </w:rPr>
            <w:instrText xml:space="preserve"> PAGEREF _Toc9118 </w:instrText>
          </w:r>
          <w:r>
            <w:rPr>
              <w:sz w:val="24"/>
              <w:szCs w:val="24"/>
            </w:rPr>
            <w:fldChar w:fldCharType="separate"/>
          </w:r>
          <w:r>
            <w:rPr>
              <w:sz w:val="24"/>
              <w:szCs w:val="24"/>
            </w:rPr>
            <w:t>24</w:t>
          </w:r>
          <w:r>
            <w:rPr>
              <w:sz w:val="24"/>
              <w:szCs w:val="24"/>
            </w:rPr>
            <w:fldChar w:fldCharType="end"/>
          </w:r>
          <w:r>
            <w:rPr>
              <w:sz w:val="24"/>
              <w:szCs w:val="24"/>
            </w:rPr>
            <w:fldChar w:fldCharType="end"/>
          </w:r>
        </w:p>
        <w:p w14:paraId="17574B9F">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_Toc18280 </w:instrText>
          </w:r>
          <w:r>
            <w:rPr>
              <w:sz w:val="24"/>
              <w:szCs w:val="24"/>
            </w:rPr>
            <w:fldChar w:fldCharType="separate"/>
          </w:r>
          <w:r>
            <w:rPr>
              <w:rFonts w:hint="eastAsia" w:ascii="仿宋" w:hAnsi="仿宋" w:eastAsia="仿宋" w:cs="仿宋"/>
              <w:sz w:val="24"/>
              <w:szCs w:val="24"/>
            </w:rPr>
            <w:t xml:space="preserve">第四节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加快形成绿色发展方式</w:t>
          </w:r>
          <w:r>
            <w:rPr>
              <w:sz w:val="24"/>
              <w:szCs w:val="24"/>
            </w:rPr>
            <w:tab/>
          </w:r>
          <w:r>
            <w:rPr>
              <w:sz w:val="24"/>
              <w:szCs w:val="24"/>
            </w:rPr>
            <w:fldChar w:fldCharType="begin"/>
          </w:r>
          <w:r>
            <w:rPr>
              <w:sz w:val="24"/>
              <w:szCs w:val="24"/>
            </w:rPr>
            <w:instrText xml:space="preserve"> PAGEREF _Toc18280 </w:instrText>
          </w:r>
          <w:r>
            <w:rPr>
              <w:sz w:val="24"/>
              <w:szCs w:val="24"/>
            </w:rPr>
            <w:fldChar w:fldCharType="separate"/>
          </w:r>
          <w:r>
            <w:rPr>
              <w:sz w:val="24"/>
              <w:szCs w:val="24"/>
            </w:rPr>
            <w:t>26</w:t>
          </w:r>
          <w:r>
            <w:rPr>
              <w:sz w:val="24"/>
              <w:szCs w:val="24"/>
            </w:rPr>
            <w:fldChar w:fldCharType="end"/>
          </w:r>
          <w:r>
            <w:rPr>
              <w:sz w:val="24"/>
              <w:szCs w:val="24"/>
            </w:rPr>
            <w:fldChar w:fldCharType="end"/>
          </w:r>
        </w:p>
        <w:p w14:paraId="5800DAF4">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_Toc5388 </w:instrText>
          </w:r>
          <w:r>
            <w:rPr>
              <w:b/>
              <w:sz w:val="24"/>
              <w:szCs w:val="24"/>
            </w:rPr>
            <w:fldChar w:fldCharType="separate"/>
          </w:r>
          <w:r>
            <w:rPr>
              <w:rFonts w:hint="eastAsia" w:ascii="黑体" w:hAnsi="黑体" w:eastAsia="黑体" w:cs="黑体"/>
              <w:b/>
              <w:bCs w:val="0"/>
              <w:sz w:val="24"/>
              <w:szCs w:val="24"/>
            </w:rPr>
            <w:t>第三章  坚持绿色发展 构筑活力扎赉特</w:t>
          </w:r>
          <w:r>
            <w:rPr>
              <w:b/>
              <w:sz w:val="24"/>
              <w:szCs w:val="24"/>
            </w:rPr>
            <w:tab/>
          </w:r>
          <w:r>
            <w:rPr>
              <w:b/>
              <w:sz w:val="24"/>
              <w:szCs w:val="24"/>
            </w:rPr>
            <w:fldChar w:fldCharType="begin"/>
          </w:r>
          <w:r>
            <w:rPr>
              <w:b/>
              <w:sz w:val="24"/>
              <w:szCs w:val="24"/>
            </w:rPr>
            <w:instrText xml:space="preserve"> PAGEREF _Toc5388 </w:instrText>
          </w:r>
          <w:r>
            <w:rPr>
              <w:b/>
              <w:sz w:val="24"/>
              <w:szCs w:val="24"/>
            </w:rPr>
            <w:fldChar w:fldCharType="separate"/>
          </w:r>
          <w:r>
            <w:rPr>
              <w:b/>
              <w:sz w:val="24"/>
              <w:szCs w:val="24"/>
            </w:rPr>
            <w:t>27</w:t>
          </w:r>
          <w:r>
            <w:rPr>
              <w:b/>
              <w:sz w:val="24"/>
              <w:szCs w:val="24"/>
            </w:rPr>
            <w:fldChar w:fldCharType="end"/>
          </w:r>
          <w:r>
            <w:rPr>
              <w:b/>
              <w:sz w:val="24"/>
              <w:szCs w:val="24"/>
            </w:rPr>
            <w:fldChar w:fldCharType="end"/>
          </w:r>
        </w:p>
        <w:p w14:paraId="5C6A7252">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_Toc24394 </w:instrText>
          </w:r>
          <w:r>
            <w:rPr>
              <w:sz w:val="24"/>
              <w:szCs w:val="24"/>
            </w:rPr>
            <w:fldChar w:fldCharType="separate"/>
          </w:r>
          <w:r>
            <w:rPr>
              <w:rFonts w:hint="eastAsia" w:ascii="仿宋" w:hAnsi="仿宋" w:eastAsia="仿宋" w:cs="仿宋"/>
              <w:sz w:val="24"/>
              <w:szCs w:val="24"/>
            </w:rPr>
            <w:t xml:space="preserve">第一节 </w:t>
          </w:r>
          <w:r>
            <w:rPr>
              <w:rFonts w:hint="eastAsia" w:ascii="仿宋" w:hAnsi="仿宋" w:eastAsia="仿宋" w:cs="仿宋"/>
              <w:sz w:val="24"/>
              <w:szCs w:val="24"/>
              <w:lang w:eastAsia="zh-CN"/>
            </w:rPr>
            <w:t>　</w:t>
          </w:r>
          <w:r>
            <w:rPr>
              <w:rFonts w:hint="eastAsia" w:ascii="仿宋" w:hAnsi="仿宋" w:eastAsia="仿宋" w:cs="仿宋"/>
              <w:sz w:val="24"/>
              <w:szCs w:val="24"/>
            </w:rPr>
            <w:t>推进农牧业现代化</w:t>
          </w:r>
          <w:r>
            <w:rPr>
              <w:sz w:val="24"/>
              <w:szCs w:val="24"/>
            </w:rPr>
            <w:tab/>
          </w:r>
          <w:r>
            <w:rPr>
              <w:sz w:val="24"/>
              <w:szCs w:val="24"/>
            </w:rPr>
            <w:fldChar w:fldCharType="begin"/>
          </w:r>
          <w:r>
            <w:rPr>
              <w:sz w:val="24"/>
              <w:szCs w:val="24"/>
            </w:rPr>
            <w:instrText xml:space="preserve"> PAGEREF _Toc24394 </w:instrText>
          </w:r>
          <w:r>
            <w:rPr>
              <w:sz w:val="24"/>
              <w:szCs w:val="24"/>
            </w:rPr>
            <w:fldChar w:fldCharType="separate"/>
          </w:r>
          <w:r>
            <w:rPr>
              <w:sz w:val="24"/>
              <w:szCs w:val="24"/>
            </w:rPr>
            <w:t>27</w:t>
          </w:r>
          <w:r>
            <w:rPr>
              <w:sz w:val="24"/>
              <w:szCs w:val="24"/>
            </w:rPr>
            <w:fldChar w:fldCharType="end"/>
          </w:r>
          <w:r>
            <w:rPr>
              <w:sz w:val="24"/>
              <w:szCs w:val="24"/>
            </w:rPr>
            <w:fldChar w:fldCharType="end"/>
          </w:r>
        </w:p>
        <w:p w14:paraId="27BDF898">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_Toc3200 </w:instrText>
          </w:r>
          <w:r>
            <w:rPr>
              <w:sz w:val="24"/>
              <w:szCs w:val="24"/>
            </w:rPr>
            <w:fldChar w:fldCharType="separate"/>
          </w:r>
          <w:r>
            <w:rPr>
              <w:rFonts w:hint="eastAsia" w:ascii="仿宋" w:hAnsi="仿宋" w:eastAsia="仿宋" w:cs="仿宋"/>
              <w:bCs/>
              <w:sz w:val="24"/>
              <w:szCs w:val="24"/>
            </w:rPr>
            <w:t>第二节</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促进工业提质增效</w:t>
          </w:r>
          <w:r>
            <w:rPr>
              <w:sz w:val="24"/>
              <w:szCs w:val="24"/>
            </w:rPr>
            <w:tab/>
          </w:r>
          <w:r>
            <w:rPr>
              <w:sz w:val="24"/>
              <w:szCs w:val="24"/>
            </w:rPr>
            <w:fldChar w:fldCharType="begin"/>
          </w:r>
          <w:r>
            <w:rPr>
              <w:sz w:val="24"/>
              <w:szCs w:val="24"/>
            </w:rPr>
            <w:instrText xml:space="preserve"> PAGEREF _Toc3200 </w:instrText>
          </w:r>
          <w:r>
            <w:rPr>
              <w:sz w:val="24"/>
              <w:szCs w:val="24"/>
            </w:rPr>
            <w:fldChar w:fldCharType="separate"/>
          </w:r>
          <w:r>
            <w:rPr>
              <w:sz w:val="24"/>
              <w:szCs w:val="24"/>
            </w:rPr>
            <w:t>34</w:t>
          </w:r>
          <w:r>
            <w:rPr>
              <w:sz w:val="24"/>
              <w:szCs w:val="24"/>
            </w:rPr>
            <w:fldChar w:fldCharType="end"/>
          </w:r>
          <w:r>
            <w:rPr>
              <w:sz w:val="24"/>
              <w:szCs w:val="24"/>
            </w:rPr>
            <w:fldChar w:fldCharType="end"/>
          </w:r>
        </w:p>
        <w:p w14:paraId="05344233">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_Toc12477 </w:instrText>
          </w:r>
          <w:r>
            <w:rPr>
              <w:sz w:val="24"/>
              <w:szCs w:val="24"/>
            </w:rPr>
            <w:fldChar w:fldCharType="separate"/>
          </w:r>
          <w:r>
            <w:rPr>
              <w:rFonts w:hint="eastAsia" w:ascii="仿宋" w:hAnsi="仿宋" w:eastAsia="仿宋" w:cs="仿宋"/>
              <w:sz w:val="24"/>
              <w:szCs w:val="24"/>
            </w:rPr>
            <w:t xml:space="preserve">第三节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加快发展现代服务业</w:t>
          </w:r>
          <w:r>
            <w:rPr>
              <w:sz w:val="24"/>
              <w:szCs w:val="24"/>
            </w:rPr>
            <w:tab/>
          </w:r>
          <w:r>
            <w:rPr>
              <w:sz w:val="24"/>
              <w:szCs w:val="24"/>
            </w:rPr>
            <w:fldChar w:fldCharType="begin"/>
          </w:r>
          <w:r>
            <w:rPr>
              <w:sz w:val="24"/>
              <w:szCs w:val="24"/>
            </w:rPr>
            <w:instrText xml:space="preserve"> PAGEREF _Toc12477 </w:instrText>
          </w:r>
          <w:r>
            <w:rPr>
              <w:sz w:val="24"/>
              <w:szCs w:val="24"/>
            </w:rPr>
            <w:fldChar w:fldCharType="separate"/>
          </w:r>
          <w:r>
            <w:rPr>
              <w:sz w:val="24"/>
              <w:szCs w:val="24"/>
            </w:rPr>
            <w:t>39</w:t>
          </w:r>
          <w:r>
            <w:rPr>
              <w:sz w:val="24"/>
              <w:szCs w:val="24"/>
            </w:rPr>
            <w:fldChar w:fldCharType="end"/>
          </w:r>
          <w:r>
            <w:rPr>
              <w:sz w:val="24"/>
              <w:szCs w:val="24"/>
            </w:rPr>
            <w:fldChar w:fldCharType="end"/>
          </w:r>
        </w:p>
        <w:p w14:paraId="7295FE63">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_Toc4439 </w:instrText>
          </w:r>
          <w:r>
            <w:rPr>
              <w:sz w:val="24"/>
              <w:szCs w:val="24"/>
            </w:rPr>
            <w:fldChar w:fldCharType="separate"/>
          </w:r>
          <w:r>
            <w:rPr>
              <w:rFonts w:hint="eastAsia" w:ascii="仿宋" w:hAnsi="仿宋" w:eastAsia="仿宋" w:cs="仿宋"/>
              <w:sz w:val="24"/>
              <w:szCs w:val="24"/>
            </w:rPr>
            <w:t>第四节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打造独具魅力的生态旅游目的地</w:t>
          </w:r>
          <w:r>
            <w:rPr>
              <w:sz w:val="24"/>
              <w:szCs w:val="24"/>
            </w:rPr>
            <w:tab/>
          </w:r>
          <w:r>
            <w:rPr>
              <w:sz w:val="24"/>
              <w:szCs w:val="24"/>
            </w:rPr>
            <w:fldChar w:fldCharType="begin"/>
          </w:r>
          <w:r>
            <w:rPr>
              <w:sz w:val="24"/>
              <w:szCs w:val="24"/>
            </w:rPr>
            <w:instrText xml:space="preserve"> PAGEREF _Toc4439 </w:instrText>
          </w:r>
          <w:r>
            <w:rPr>
              <w:sz w:val="24"/>
              <w:szCs w:val="24"/>
            </w:rPr>
            <w:fldChar w:fldCharType="separate"/>
          </w:r>
          <w:r>
            <w:rPr>
              <w:sz w:val="24"/>
              <w:szCs w:val="24"/>
            </w:rPr>
            <w:t>41</w:t>
          </w:r>
          <w:r>
            <w:rPr>
              <w:sz w:val="24"/>
              <w:szCs w:val="24"/>
            </w:rPr>
            <w:fldChar w:fldCharType="end"/>
          </w:r>
          <w:r>
            <w:rPr>
              <w:sz w:val="24"/>
              <w:szCs w:val="24"/>
            </w:rPr>
            <w:fldChar w:fldCharType="end"/>
          </w:r>
        </w:p>
        <w:p w14:paraId="3FD45A58">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_Toc21701 </w:instrText>
          </w:r>
          <w:r>
            <w:rPr>
              <w:sz w:val="24"/>
              <w:szCs w:val="24"/>
            </w:rPr>
            <w:fldChar w:fldCharType="separate"/>
          </w:r>
          <w:r>
            <w:rPr>
              <w:rFonts w:hint="eastAsia" w:ascii="仿宋" w:hAnsi="仿宋" w:eastAsia="仿宋" w:cs="仿宋"/>
              <w:sz w:val="24"/>
              <w:szCs w:val="24"/>
            </w:rPr>
            <w:t>第五节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提升产业发展平台</w:t>
          </w:r>
          <w:r>
            <w:rPr>
              <w:sz w:val="24"/>
              <w:szCs w:val="24"/>
            </w:rPr>
            <w:tab/>
          </w:r>
          <w:r>
            <w:rPr>
              <w:sz w:val="24"/>
              <w:szCs w:val="24"/>
            </w:rPr>
            <w:fldChar w:fldCharType="begin"/>
          </w:r>
          <w:r>
            <w:rPr>
              <w:sz w:val="24"/>
              <w:szCs w:val="24"/>
            </w:rPr>
            <w:instrText xml:space="preserve"> PAGEREF _Toc21701 </w:instrText>
          </w:r>
          <w:r>
            <w:rPr>
              <w:sz w:val="24"/>
              <w:szCs w:val="24"/>
            </w:rPr>
            <w:fldChar w:fldCharType="separate"/>
          </w:r>
          <w:r>
            <w:rPr>
              <w:sz w:val="24"/>
              <w:szCs w:val="24"/>
            </w:rPr>
            <w:t>44</w:t>
          </w:r>
          <w:r>
            <w:rPr>
              <w:sz w:val="24"/>
              <w:szCs w:val="24"/>
            </w:rPr>
            <w:fldChar w:fldCharType="end"/>
          </w:r>
          <w:r>
            <w:rPr>
              <w:sz w:val="24"/>
              <w:szCs w:val="24"/>
            </w:rPr>
            <w:fldChar w:fldCharType="end"/>
          </w:r>
        </w:p>
        <w:p w14:paraId="64EF09B7">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_Toc13114 </w:instrText>
          </w:r>
          <w:r>
            <w:rPr>
              <w:b/>
              <w:sz w:val="24"/>
              <w:szCs w:val="24"/>
            </w:rPr>
            <w:fldChar w:fldCharType="separate"/>
          </w:r>
          <w:r>
            <w:rPr>
              <w:rFonts w:hint="eastAsia" w:ascii="黑体" w:hAnsi="黑体" w:eastAsia="黑体" w:cs="黑体"/>
              <w:b/>
              <w:bCs w:val="0"/>
              <w:sz w:val="24"/>
              <w:szCs w:val="24"/>
            </w:rPr>
            <w:t>第四章  统筹城乡发展 构筑魅力扎赉特</w:t>
          </w:r>
          <w:r>
            <w:rPr>
              <w:b/>
              <w:sz w:val="24"/>
              <w:szCs w:val="24"/>
            </w:rPr>
            <w:tab/>
          </w:r>
          <w:r>
            <w:rPr>
              <w:b/>
              <w:sz w:val="24"/>
              <w:szCs w:val="24"/>
            </w:rPr>
            <w:fldChar w:fldCharType="begin"/>
          </w:r>
          <w:r>
            <w:rPr>
              <w:b/>
              <w:sz w:val="24"/>
              <w:szCs w:val="24"/>
            </w:rPr>
            <w:instrText xml:space="preserve"> PAGEREF _Toc13114 </w:instrText>
          </w:r>
          <w:r>
            <w:rPr>
              <w:b/>
              <w:sz w:val="24"/>
              <w:szCs w:val="24"/>
            </w:rPr>
            <w:fldChar w:fldCharType="separate"/>
          </w:r>
          <w:r>
            <w:rPr>
              <w:b/>
              <w:sz w:val="24"/>
              <w:szCs w:val="24"/>
            </w:rPr>
            <w:t>47</w:t>
          </w:r>
          <w:r>
            <w:rPr>
              <w:b/>
              <w:sz w:val="24"/>
              <w:szCs w:val="24"/>
            </w:rPr>
            <w:fldChar w:fldCharType="end"/>
          </w:r>
          <w:r>
            <w:rPr>
              <w:b/>
              <w:sz w:val="24"/>
              <w:szCs w:val="24"/>
            </w:rPr>
            <w:fldChar w:fldCharType="end"/>
          </w:r>
        </w:p>
        <w:p w14:paraId="0E788BCB">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_Toc21583 </w:instrText>
          </w:r>
          <w:r>
            <w:rPr>
              <w:sz w:val="24"/>
              <w:szCs w:val="24"/>
            </w:rPr>
            <w:fldChar w:fldCharType="separate"/>
          </w:r>
          <w:r>
            <w:rPr>
              <w:rFonts w:hint="eastAsia" w:ascii="仿宋" w:hAnsi="仿宋" w:eastAsia="仿宋" w:cs="仿宋"/>
              <w:sz w:val="24"/>
              <w:szCs w:val="24"/>
            </w:rPr>
            <w:t>第一节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构建城乡空间发展新格局</w:t>
          </w:r>
          <w:r>
            <w:rPr>
              <w:sz w:val="24"/>
              <w:szCs w:val="24"/>
            </w:rPr>
            <w:tab/>
          </w:r>
          <w:r>
            <w:rPr>
              <w:sz w:val="24"/>
              <w:szCs w:val="24"/>
            </w:rPr>
            <w:fldChar w:fldCharType="begin"/>
          </w:r>
          <w:r>
            <w:rPr>
              <w:sz w:val="24"/>
              <w:szCs w:val="24"/>
            </w:rPr>
            <w:instrText xml:space="preserve"> PAGEREF _Toc21583 </w:instrText>
          </w:r>
          <w:r>
            <w:rPr>
              <w:sz w:val="24"/>
              <w:szCs w:val="24"/>
            </w:rPr>
            <w:fldChar w:fldCharType="separate"/>
          </w:r>
          <w:r>
            <w:rPr>
              <w:sz w:val="24"/>
              <w:szCs w:val="24"/>
            </w:rPr>
            <w:t>47</w:t>
          </w:r>
          <w:r>
            <w:rPr>
              <w:sz w:val="24"/>
              <w:szCs w:val="24"/>
            </w:rPr>
            <w:fldChar w:fldCharType="end"/>
          </w:r>
          <w:r>
            <w:rPr>
              <w:sz w:val="24"/>
              <w:szCs w:val="24"/>
            </w:rPr>
            <w:fldChar w:fldCharType="end"/>
          </w:r>
        </w:p>
        <w:p w14:paraId="2F3E2F7B">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_Toc1593 </w:instrText>
          </w:r>
          <w:r>
            <w:rPr>
              <w:sz w:val="24"/>
              <w:szCs w:val="24"/>
            </w:rPr>
            <w:fldChar w:fldCharType="separate"/>
          </w:r>
          <w:r>
            <w:rPr>
              <w:rFonts w:hint="eastAsia" w:ascii="仿宋" w:hAnsi="仿宋" w:eastAsia="仿宋" w:cs="仿宋"/>
              <w:sz w:val="24"/>
              <w:szCs w:val="24"/>
            </w:rPr>
            <w:t xml:space="preserve">第二节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加强城乡基础设施建设</w:t>
          </w:r>
          <w:r>
            <w:rPr>
              <w:sz w:val="24"/>
              <w:szCs w:val="24"/>
            </w:rPr>
            <w:tab/>
          </w:r>
          <w:r>
            <w:rPr>
              <w:sz w:val="24"/>
              <w:szCs w:val="24"/>
            </w:rPr>
            <w:fldChar w:fldCharType="begin"/>
          </w:r>
          <w:r>
            <w:rPr>
              <w:sz w:val="24"/>
              <w:szCs w:val="24"/>
            </w:rPr>
            <w:instrText xml:space="preserve"> PAGEREF _Toc1593 </w:instrText>
          </w:r>
          <w:r>
            <w:rPr>
              <w:sz w:val="24"/>
              <w:szCs w:val="24"/>
            </w:rPr>
            <w:fldChar w:fldCharType="separate"/>
          </w:r>
          <w:r>
            <w:rPr>
              <w:sz w:val="24"/>
              <w:szCs w:val="24"/>
            </w:rPr>
            <w:t>50</w:t>
          </w:r>
          <w:r>
            <w:rPr>
              <w:sz w:val="24"/>
              <w:szCs w:val="24"/>
            </w:rPr>
            <w:fldChar w:fldCharType="end"/>
          </w:r>
          <w:r>
            <w:rPr>
              <w:sz w:val="24"/>
              <w:szCs w:val="24"/>
            </w:rPr>
            <w:fldChar w:fldCharType="end"/>
          </w:r>
        </w:p>
        <w:p w14:paraId="535F5D80">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_Toc19519 </w:instrText>
          </w:r>
          <w:r>
            <w:rPr>
              <w:sz w:val="24"/>
              <w:szCs w:val="24"/>
            </w:rPr>
            <w:fldChar w:fldCharType="separate"/>
          </w:r>
          <w:r>
            <w:rPr>
              <w:rFonts w:hint="eastAsia" w:ascii="仿宋" w:hAnsi="仿宋" w:eastAsia="仿宋" w:cs="仿宋"/>
              <w:sz w:val="24"/>
              <w:szCs w:val="24"/>
            </w:rPr>
            <w:t>第三节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全面推进乡村振兴</w:t>
          </w:r>
          <w:r>
            <w:rPr>
              <w:sz w:val="24"/>
              <w:szCs w:val="24"/>
            </w:rPr>
            <w:tab/>
          </w:r>
          <w:r>
            <w:rPr>
              <w:sz w:val="24"/>
              <w:szCs w:val="24"/>
            </w:rPr>
            <w:fldChar w:fldCharType="begin"/>
          </w:r>
          <w:r>
            <w:rPr>
              <w:sz w:val="24"/>
              <w:szCs w:val="24"/>
            </w:rPr>
            <w:instrText xml:space="preserve"> PAGEREF _Toc19519 </w:instrText>
          </w:r>
          <w:r>
            <w:rPr>
              <w:sz w:val="24"/>
              <w:szCs w:val="24"/>
            </w:rPr>
            <w:fldChar w:fldCharType="separate"/>
          </w:r>
          <w:r>
            <w:rPr>
              <w:sz w:val="24"/>
              <w:szCs w:val="24"/>
            </w:rPr>
            <w:t>54</w:t>
          </w:r>
          <w:r>
            <w:rPr>
              <w:sz w:val="24"/>
              <w:szCs w:val="24"/>
            </w:rPr>
            <w:fldChar w:fldCharType="end"/>
          </w:r>
          <w:r>
            <w:rPr>
              <w:sz w:val="24"/>
              <w:szCs w:val="24"/>
            </w:rPr>
            <w:fldChar w:fldCharType="end"/>
          </w:r>
        </w:p>
        <w:p w14:paraId="32D128C0">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_Toc21079 </w:instrText>
          </w:r>
          <w:r>
            <w:rPr>
              <w:sz w:val="24"/>
              <w:szCs w:val="24"/>
            </w:rPr>
            <w:fldChar w:fldCharType="separate"/>
          </w:r>
          <w:r>
            <w:rPr>
              <w:rFonts w:hint="eastAsia" w:ascii="仿宋" w:hAnsi="仿宋" w:eastAsia="仿宋" w:cs="仿宋"/>
              <w:bCs/>
              <w:sz w:val="24"/>
              <w:szCs w:val="24"/>
            </w:rPr>
            <w:t>第四节　推进水库移民搬迁安置</w:t>
          </w:r>
          <w:r>
            <w:rPr>
              <w:sz w:val="24"/>
              <w:szCs w:val="24"/>
            </w:rPr>
            <w:tab/>
          </w:r>
          <w:r>
            <w:rPr>
              <w:sz w:val="24"/>
              <w:szCs w:val="24"/>
            </w:rPr>
            <w:fldChar w:fldCharType="begin"/>
          </w:r>
          <w:r>
            <w:rPr>
              <w:sz w:val="24"/>
              <w:szCs w:val="24"/>
            </w:rPr>
            <w:instrText xml:space="preserve"> PAGEREF _Toc21079 </w:instrText>
          </w:r>
          <w:r>
            <w:rPr>
              <w:sz w:val="24"/>
              <w:szCs w:val="24"/>
            </w:rPr>
            <w:fldChar w:fldCharType="separate"/>
          </w:r>
          <w:r>
            <w:rPr>
              <w:sz w:val="24"/>
              <w:szCs w:val="24"/>
            </w:rPr>
            <w:t>58</w:t>
          </w:r>
          <w:r>
            <w:rPr>
              <w:sz w:val="24"/>
              <w:szCs w:val="24"/>
            </w:rPr>
            <w:fldChar w:fldCharType="end"/>
          </w:r>
          <w:r>
            <w:rPr>
              <w:sz w:val="24"/>
              <w:szCs w:val="24"/>
            </w:rPr>
            <w:fldChar w:fldCharType="end"/>
          </w:r>
        </w:p>
        <w:p w14:paraId="6DA60930">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_Toc3716 </w:instrText>
          </w:r>
          <w:r>
            <w:rPr>
              <w:b/>
              <w:sz w:val="24"/>
              <w:szCs w:val="24"/>
            </w:rPr>
            <w:fldChar w:fldCharType="separate"/>
          </w:r>
          <w:r>
            <w:rPr>
              <w:rFonts w:hint="eastAsia" w:ascii="黑体" w:hAnsi="黑体" w:eastAsia="黑体" w:cs="黑体"/>
              <w:b/>
              <w:bCs w:val="0"/>
              <w:sz w:val="24"/>
              <w:szCs w:val="24"/>
            </w:rPr>
            <w:t>第五章  增进民生福祉 构筑</w:t>
          </w:r>
          <w:r>
            <w:rPr>
              <w:rFonts w:hint="eastAsia" w:ascii="黑体" w:hAnsi="黑体" w:eastAsia="黑体" w:cs="黑体"/>
              <w:b/>
              <w:bCs w:val="0"/>
              <w:sz w:val="24"/>
              <w:szCs w:val="24"/>
              <w:lang w:eastAsia="zh-CN"/>
            </w:rPr>
            <w:t>幸福</w:t>
          </w:r>
          <w:r>
            <w:rPr>
              <w:rFonts w:hint="eastAsia" w:ascii="黑体" w:hAnsi="黑体" w:eastAsia="黑体" w:cs="黑体"/>
              <w:b/>
              <w:bCs w:val="0"/>
              <w:sz w:val="24"/>
              <w:szCs w:val="24"/>
            </w:rPr>
            <w:t>扎赉特</w:t>
          </w:r>
          <w:r>
            <w:rPr>
              <w:b/>
              <w:sz w:val="24"/>
              <w:szCs w:val="24"/>
            </w:rPr>
            <w:tab/>
          </w:r>
          <w:r>
            <w:rPr>
              <w:b/>
              <w:sz w:val="24"/>
              <w:szCs w:val="24"/>
            </w:rPr>
            <w:fldChar w:fldCharType="begin"/>
          </w:r>
          <w:r>
            <w:rPr>
              <w:b/>
              <w:sz w:val="24"/>
              <w:szCs w:val="24"/>
            </w:rPr>
            <w:instrText xml:space="preserve"> PAGEREF _Toc3716 </w:instrText>
          </w:r>
          <w:r>
            <w:rPr>
              <w:b/>
              <w:sz w:val="24"/>
              <w:szCs w:val="24"/>
            </w:rPr>
            <w:fldChar w:fldCharType="separate"/>
          </w:r>
          <w:r>
            <w:rPr>
              <w:b/>
              <w:sz w:val="24"/>
              <w:szCs w:val="24"/>
            </w:rPr>
            <w:t>59</w:t>
          </w:r>
          <w:r>
            <w:rPr>
              <w:b/>
              <w:sz w:val="24"/>
              <w:szCs w:val="24"/>
            </w:rPr>
            <w:fldChar w:fldCharType="end"/>
          </w:r>
          <w:r>
            <w:rPr>
              <w:b/>
              <w:sz w:val="24"/>
              <w:szCs w:val="24"/>
            </w:rPr>
            <w:fldChar w:fldCharType="end"/>
          </w:r>
        </w:p>
        <w:p w14:paraId="0301BAE5">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_Toc10703 </w:instrText>
          </w:r>
          <w:r>
            <w:rPr>
              <w:sz w:val="24"/>
              <w:szCs w:val="24"/>
            </w:rPr>
            <w:fldChar w:fldCharType="separate"/>
          </w:r>
          <w:r>
            <w:rPr>
              <w:rFonts w:hint="eastAsia" w:ascii="仿宋" w:hAnsi="仿宋" w:eastAsia="仿宋" w:cs="仿宋"/>
              <w:sz w:val="24"/>
              <w:szCs w:val="24"/>
            </w:rPr>
            <w:t xml:space="preserve">第一节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保障</w:t>
          </w:r>
          <w:r>
            <w:rPr>
              <w:rFonts w:hint="eastAsia" w:ascii="仿宋" w:hAnsi="仿宋" w:eastAsia="仿宋" w:cs="仿宋"/>
              <w:sz w:val="24"/>
              <w:szCs w:val="24"/>
            </w:rPr>
            <w:t>就业稳定</w:t>
          </w:r>
          <w:r>
            <w:rPr>
              <w:sz w:val="24"/>
              <w:szCs w:val="24"/>
            </w:rPr>
            <w:tab/>
          </w:r>
          <w:r>
            <w:rPr>
              <w:sz w:val="24"/>
              <w:szCs w:val="24"/>
            </w:rPr>
            <w:fldChar w:fldCharType="begin"/>
          </w:r>
          <w:r>
            <w:rPr>
              <w:sz w:val="24"/>
              <w:szCs w:val="24"/>
            </w:rPr>
            <w:instrText xml:space="preserve"> PAGEREF _Toc10703 </w:instrText>
          </w:r>
          <w:r>
            <w:rPr>
              <w:sz w:val="24"/>
              <w:szCs w:val="24"/>
            </w:rPr>
            <w:fldChar w:fldCharType="separate"/>
          </w:r>
          <w:r>
            <w:rPr>
              <w:sz w:val="24"/>
              <w:szCs w:val="24"/>
            </w:rPr>
            <w:t>59</w:t>
          </w:r>
          <w:r>
            <w:rPr>
              <w:sz w:val="24"/>
              <w:szCs w:val="24"/>
            </w:rPr>
            <w:fldChar w:fldCharType="end"/>
          </w:r>
          <w:r>
            <w:rPr>
              <w:sz w:val="24"/>
              <w:szCs w:val="24"/>
            </w:rPr>
            <w:fldChar w:fldCharType="end"/>
          </w:r>
        </w:p>
        <w:p w14:paraId="64A6152D">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_Toc30443 </w:instrText>
          </w:r>
          <w:r>
            <w:rPr>
              <w:sz w:val="24"/>
              <w:szCs w:val="24"/>
            </w:rPr>
            <w:fldChar w:fldCharType="separate"/>
          </w:r>
          <w:r>
            <w:rPr>
              <w:rFonts w:hint="eastAsia" w:ascii="仿宋" w:hAnsi="仿宋" w:eastAsia="仿宋" w:cs="仿宋"/>
              <w:sz w:val="24"/>
              <w:szCs w:val="24"/>
            </w:rPr>
            <w:t xml:space="preserve">第二节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推进教育高质量发展</w:t>
          </w:r>
          <w:r>
            <w:rPr>
              <w:sz w:val="24"/>
              <w:szCs w:val="24"/>
            </w:rPr>
            <w:tab/>
          </w:r>
          <w:r>
            <w:rPr>
              <w:sz w:val="24"/>
              <w:szCs w:val="24"/>
            </w:rPr>
            <w:fldChar w:fldCharType="begin"/>
          </w:r>
          <w:r>
            <w:rPr>
              <w:sz w:val="24"/>
              <w:szCs w:val="24"/>
            </w:rPr>
            <w:instrText xml:space="preserve"> PAGEREF _Toc30443 </w:instrText>
          </w:r>
          <w:r>
            <w:rPr>
              <w:sz w:val="24"/>
              <w:szCs w:val="24"/>
            </w:rPr>
            <w:fldChar w:fldCharType="separate"/>
          </w:r>
          <w:r>
            <w:rPr>
              <w:sz w:val="24"/>
              <w:szCs w:val="24"/>
            </w:rPr>
            <w:t>60</w:t>
          </w:r>
          <w:r>
            <w:rPr>
              <w:sz w:val="24"/>
              <w:szCs w:val="24"/>
            </w:rPr>
            <w:fldChar w:fldCharType="end"/>
          </w:r>
          <w:r>
            <w:rPr>
              <w:sz w:val="24"/>
              <w:szCs w:val="24"/>
            </w:rPr>
            <w:fldChar w:fldCharType="end"/>
          </w:r>
        </w:p>
        <w:p w14:paraId="4698C217">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_Toc18253 </w:instrText>
          </w:r>
          <w:r>
            <w:rPr>
              <w:sz w:val="24"/>
              <w:szCs w:val="24"/>
            </w:rPr>
            <w:fldChar w:fldCharType="separate"/>
          </w:r>
          <w:r>
            <w:rPr>
              <w:rFonts w:hint="eastAsia" w:ascii="仿宋" w:hAnsi="仿宋" w:eastAsia="仿宋" w:cs="仿宋"/>
              <w:sz w:val="24"/>
              <w:szCs w:val="24"/>
            </w:rPr>
            <w:t>第三节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加快建设</w:t>
          </w:r>
          <w:r>
            <w:rPr>
              <w:rFonts w:hint="eastAsia" w:ascii="仿宋" w:hAnsi="仿宋" w:eastAsia="仿宋" w:cs="仿宋"/>
              <w:sz w:val="24"/>
              <w:szCs w:val="24"/>
              <w:lang w:eastAsia="zh-CN"/>
            </w:rPr>
            <w:t>卫生</w:t>
          </w:r>
          <w:r>
            <w:rPr>
              <w:rFonts w:hint="eastAsia" w:ascii="仿宋" w:hAnsi="仿宋" w:eastAsia="仿宋" w:cs="仿宋"/>
              <w:sz w:val="24"/>
              <w:szCs w:val="24"/>
            </w:rPr>
            <w:t>健康</w:t>
          </w:r>
          <w:r>
            <w:rPr>
              <w:rFonts w:hint="eastAsia" w:ascii="仿宋" w:hAnsi="仿宋" w:eastAsia="仿宋" w:cs="仿宋"/>
              <w:sz w:val="24"/>
              <w:szCs w:val="24"/>
              <w:lang w:eastAsia="zh-CN"/>
            </w:rPr>
            <w:t>保障体系</w:t>
          </w:r>
          <w:r>
            <w:rPr>
              <w:sz w:val="24"/>
              <w:szCs w:val="24"/>
            </w:rPr>
            <w:tab/>
          </w:r>
          <w:r>
            <w:rPr>
              <w:sz w:val="24"/>
              <w:szCs w:val="24"/>
            </w:rPr>
            <w:fldChar w:fldCharType="begin"/>
          </w:r>
          <w:r>
            <w:rPr>
              <w:sz w:val="24"/>
              <w:szCs w:val="24"/>
            </w:rPr>
            <w:instrText xml:space="preserve"> PAGEREF _Toc18253 </w:instrText>
          </w:r>
          <w:r>
            <w:rPr>
              <w:sz w:val="24"/>
              <w:szCs w:val="24"/>
            </w:rPr>
            <w:fldChar w:fldCharType="separate"/>
          </w:r>
          <w:r>
            <w:rPr>
              <w:sz w:val="24"/>
              <w:szCs w:val="24"/>
            </w:rPr>
            <w:t>63</w:t>
          </w:r>
          <w:r>
            <w:rPr>
              <w:sz w:val="24"/>
              <w:szCs w:val="24"/>
            </w:rPr>
            <w:fldChar w:fldCharType="end"/>
          </w:r>
          <w:r>
            <w:rPr>
              <w:sz w:val="24"/>
              <w:szCs w:val="24"/>
            </w:rPr>
            <w:fldChar w:fldCharType="end"/>
          </w:r>
        </w:p>
        <w:p w14:paraId="46663D77">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_Toc12529 </w:instrText>
          </w:r>
          <w:r>
            <w:rPr>
              <w:sz w:val="24"/>
              <w:szCs w:val="24"/>
            </w:rPr>
            <w:fldChar w:fldCharType="separate"/>
          </w:r>
          <w:r>
            <w:rPr>
              <w:rFonts w:hint="eastAsia" w:ascii="仿宋" w:hAnsi="仿宋" w:eastAsia="仿宋" w:cs="仿宋"/>
              <w:sz w:val="24"/>
              <w:szCs w:val="24"/>
            </w:rPr>
            <w:t xml:space="preserve">第四节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强化社会保障体系</w:t>
          </w:r>
          <w:r>
            <w:rPr>
              <w:sz w:val="24"/>
              <w:szCs w:val="24"/>
            </w:rPr>
            <w:tab/>
          </w:r>
          <w:r>
            <w:rPr>
              <w:sz w:val="24"/>
              <w:szCs w:val="24"/>
            </w:rPr>
            <w:fldChar w:fldCharType="begin"/>
          </w:r>
          <w:r>
            <w:rPr>
              <w:sz w:val="24"/>
              <w:szCs w:val="24"/>
            </w:rPr>
            <w:instrText xml:space="preserve"> PAGEREF _Toc12529 </w:instrText>
          </w:r>
          <w:r>
            <w:rPr>
              <w:sz w:val="24"/>
              <w:szCs w:val="24"/>
            </w:rPr>
            <w:fldChar w:fldCharType="separate"/>
          </w:r>
          <w:r>
            <w:rPr>
              <w:sz w:val="24"/>
              <w:szCs w:val="24"/>
            </w:rPr>
            <w:t>65</w:t>
          </w:r>
          <w:r>
            <w:rPr>
              <w:sz w:val="24"/>
              <w:szCs w:val="24"/>
            </w:rPr>
            <w:fldChar w:fldCharType="end"/>
          </w:r>
          <w:r>
            <w:rPr>
              <w:sz w:val="24"/>
              <w:szCs w:val="24"/>
            </w:rPr>
            <w:fldChar w:fldCharType="end"/>
          </w:r>
        </w:p>
        <w:p w14:paraId="38139016">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_Toc7643 </w:instrText>
          </w:r>
          <w:r>
            <w:rPr>
              <w:sz w:val="24"/>
              <w:szCs w:val="24"/>
            </w:rPr>
            <w:fldChar w:fldCharType="separate"/>
          </w:r>
          <w:r>
            <w:rPr>
              <w:rFonts w:hint="eastAsia" w:ascii="仿宋" w:hAnsi="仿宋" w:eastAsia="仿宋" w:cs="仿宋"/>
              <w:sz w:val="24"/>
              <w:szCs w:val="24"/>
            </w:rPr>
            <w:t>第五节</w:t>
          </w:r>
          <w:r>
            <w:rPr>
              <w:rFonts w:hint="eastAsia" w:ascii="仿宋" w:hAnsi="仿宋" w:eastAsia="仿宋" w:cs="仿宋"/>
              <w:sz w:val="24"/>
              <w:szCs w:val="24"/>
              <w:lang w:eastAsia="zh-CN"/>
            </w:rPr>
            <w:t>　</w:t>
          </w:r>
          <w:r>
            <w:rPr>
              <w:rFonts w:hint="eastAsia" w:ascii="仿宋" w:hAnsi="仿宋" w:eastAsia="仿宋" w:cs="仿宋"/>
              <w:sz w:val="24"/>
              <w:szCs w:val="24"/>
            </w:rPr>
            <w:t>积极应对人口老龄化</w:t>
          </w:r>
          <w:r>
            <w:rPr>
              <w:sz w:val="24"/>
              <w:szCs w:val="24"/>
            </w:rPr>
            <w:tab/>
          </w:r>
          <w:r>
            <w:rPr>
              <w:sz w:val="24"/>
              <w:szCs w:val="24"/>
            </w:rPr>
            <w:fldChar w:fldCharType="begin"/>
          </w:r>
          <w:r>
            <w:rPr>
              <w:sz w:val="24"/>
              <w:szCs w:val="24"/>
            </w:rPr>
            <w:instrText xml:space="preserve"> PAGEREF _Toc7643 </w:instrText>
          </w:r>
          <w:r>
            <w:rPr>
              <w:sz w:val="24"/>
              <w:szCs w:val="24"/>
            </w:rPr>
            <w:fldChar w:fldCharType="separate"/>
          </w:r>
          <w:r>
            <w:rPr>
              <w:sz w:val="24"/>
              <w:szCs w:val="24"/>
            </w:rPr>
            <w:t>66</w:t>
          </w:r>
          <w:r>
            <w:rPr>
              <w:sz w:val="24"/>
              <w:szCs w:val="24"/>
            </w:rPr>
            <w:fldChar w:fldCharType="end"/>
          </w:r>
          <w:r>
            <w:rPr>
              <w:sz w:val="24"/>
              <w:szCs w:val="24"/>
            </w:rPr>
            <w:fldChar w:fldCharType="end"/>
          </w:r>
        </w:p>
        <w:p w14:paraId="12E3E5AA">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_Toc27404 </w:instrText>
          </w:r>
          <w:r>
            <w:rPr>
              <w:sz w:val="24"/>
              <w:szCs w:val="24"/>
            </w:rPr>
            <w:fldChar w:fldCharType="separate"/>
          </w:r>
          <w:r>
            <w:rPr>
              <w:rFonts w:hint="eastAsia" w:ascii="仿宋" w:hAnsi="仿宋" w:eastAsia="仿宋" w:cs="仿宋"/>
              <w:sz w:val="24"/>
              <w:szCs w:val="24"/>
              <w:lang w:eastAsia="zh-CN"/>
            </w:rPr>
            <w:t>第六节　</w:t>
          </w:r>
          <w:r>
            <w:rPr>
              <w:rFonts w:hint="eastAsia" w:ascii="仿宋" w:hAnsi="仿宋" w:eastAsia="仿宋" w:cs="仿宋"/>
              <w:sz w:val="24"/>
              <w:szCs w:val="24"/>
            </w:rPr>
            <w:t>加强妇女儿童权益保护</w:t>
          </w:r>
          <w:r>
            <w:rPr>
              <w:sz w:val="24"/>
              <w:szCs w:val="24"/>
            </w:rPr>
            <w:tab/>
          </w:r>
          <w:r>
            <w:rPr>
              <w:sz w:val="24"/>
              <w:szCs w:val="24"/>
            </w:rPr>
            <w:fldChar w:fldCharType="begin"/>
          </w:r>
          <w:r>
            <w:rPr>
              <w:sz w:val="24"/>
              <w:szCs w:val="24"/>
            </w:rPr>
            <w:instrText xml:space="preserve"> PAGEREF _Toc27404 </w:instrText>
          </w:r>
          <w:r>
            <w:rPr>
              <w:sz w:val="24"/>
              <w:szCs w:val="24"/>
            </w:rPr>
            <w:fldChar w:fldCharType="separate"/>
          </w:r>
          <w:r>
            <w:rPr>
              <w:sz w:val="24"/>
              <w:szCs w:val="24"/>
            </w:rPr>
            <w:t>67</w:t>
          </w:r>
          <w:r>
            <w:rPr>
              <w:sz w:val="24"/>
              <w:szCs w:val="24"/>
            </w:rPr>
            <w:fldChar w:fldCharType="end"/>
          </w:r>
          <w:r>
            <w:rPr>
              <w:sz w:val="24"/>
              <w:szCs w:val="24"/>
            </w:rPr>
            <w:fldChar w:fldCharType="end"/>
          </w:r>
        </w:p>
        <w:p w14:paraId="6DA797FA">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_Toc21339 </w:instrText>
          </w:r>
          <w:r>
            <w:rPr>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eastAsia="zh-CN"/>
            </w:rPr>
            <w:t>七</w:t>
          </w:r>
          <w:r>
            <w:rPr>
              <w:rFonts w:hint="eastAsia" w:ascii="仿宋" w:hAnsi="仿宋" w:eastAsia="仿宋" w:cs="仿宋"/>
              <w:sz w:val="24"/>
              <w:szCs w:val="24"/>
            </w:rPr>
            <w:t xml:space="preserve">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提高全民科学素质</w:t>
          </w:r>
          <w:r>
            <w:rPr>
              <w:sz w:val="24"/>
              <w:szCs w:val="24"/>
            </w:rPr>
            <w:tab/>
          </w:r>
          <w:r>
            <w:rPr>
              <w:sz w:val="24"/>
              <w:szCs w:val="24"/>
            </w:rPr>
            <w:fldChar w:fldCharType="begin"/>
          </w:r>
          <w:r>
            <w:rPr>
              <w:sz w:val="24"/>
              <w:szCs w:val="24"/>
            </w:rPr>
            <w:instrText xml:space="preserve"> PAGEREF _Toc21339 </w:instrText>
          </w:r>
          <w:r>
            <w:rPr>
              <w:sz w:val="24"/>
              <w:szCs w:val="24"/>
            </w:rPr>
            <w:fldChar w:fldCharType="separate"/>
          </w:r>
          <w:r>
            <w:rPr>
              <w:sz w:val="24"/>
              <w:szCs w:val="24"/>
            </w:rPr>
            <w:t>67</w:t>
          </w:r>
          <w:r>
            <w:rPr>
              <w:sz w:val="24"/>
              <w:szCs w:val="24"/>
            </w:rPr>
            <w:fldChar w:fldCharType="end"/>
          </w:r>
          <w:r>
            <w:rPr>
              <w:sz w:val="24"/>
              <w:szCs w:val="24"/>
            </w:rPr>
            <w:fldChar w:fldCharType="end"/>
          </w:r>
        </w:p>
        <w:p w14:paraId="367C4586">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_Toc18359 </w:instrText>
          </w:r>
          <w:r>
            <w:rPr>
              <w:b/>
              <w:sz w:val="24"/>
              <w:szCs w:val="24"/>
            </w:rPr>
            <w:fldChar w:fldCharType="separate"/>
          </w:r>
          <w:r>
            <w:rPr>
              <w:rFonts w:hint="eastAsia" w:ascii="黑体" w:hAnsi="黑体" w:eastAsia="黑体" w:cs="黑体"/>
              <w:b/>
              <w:bCs w:val="0"/>
              <w:sz w:val="24"/>
              <w:szCs w:val="24"/>
            </w:rPr>
            <w:t>第六章  深化改革合作　构筑清新扎赉特</w:t>
          </w:r>
          <w:r>
            <w:rPr>
              <w:b/>
              <w:sz w:val="24"/>
              <w:szCs w:val="24"/>
            </w:rPr>
            <w:tab/>
          </w:r>
          <w:r>
            <w:rPr>
              <w:b/>
              <w:sz w:val="24"/>
              <w:szCs w:val="24"/>
            </w:rPr>
            <w:fldChar w:fldCharType="begin"/>
          </w:r>
          <w:r>
            <w:rPr>
              <w:b/>
              <w:sz w:val="24"/>
              <w:szCs w:val="24"/>
            </w:rPr>
            <w:instrText xml:space="preserve"> PAGEREF _Toc18359 </w:instrText>
          </w:r>
          <w:r>
            <w:rPr>
              <w:b/>
              <w:sz w:val="24"/>
              <w:szCs w:val="24"/>
            </w:rPr>
            <w:fldChar w:fldCharType="separate"/>
          </w:r>
          <w:r>
            <w:rPr>
              <w:b/>
              <w:sz w:val="24"/>
              <w:szCs w:val="24"/>
            </w:rPr>
            <w:t>69</w:t>
          </w:r>
          <w:r>
            <w:rPr>
              <w:b/>
              <w:sz w:val="24"/>
              <w:szCs w:val="24"/>
            </w:rPr>
            <w:fldChar w:fldCharType="end"/>
          </w:r>
          <w:r>
            <w:rPr>
              <w:b/>
              <w:sz w:val="24"/>
              <w:szCs w:val="24"/>
            </w:rPr>
            <w:fldChar w:fldCharType="end"/>
          </w:r>
        </w:p>
        <w:p w14:paraId="67375308">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_Toc19449 </w:instrText>
          </w:r>
          <w:r>
            <w:rPr>
              <w:sz w:val="24"/>
              <w:szCs w:val="24"/>
            </w:rPr>
            <w:fldChar w:fldCharType="separate"/>
          </w:r>
          <w:r>
            <w:rPr>
              <w:rFonts w:hint="eastAsia" w:ascii="仿宋" w:hAnsi="仿宋" w:eastAsia="仿宋" w:cs="仿宋"/>
              <w:sz w:val="24"/>
              <w:szCs w:val="24"/>
            </w:rPr>
            <w:t xml:space="preserve">第一节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深化农村牧区改革</w:t>
          </w:r>
          <w:r>
            <w:rPr>
              <w:sz w:val="24"/>
              <w:szCs w:val="24"/>
            </w:rPr>
            <w:tab/>
          </w:r>
          <w:r>
            <w:rPr>
              <w:sz w:val="24"/>
              <w:szCs w:val="24"/>
            </w:rPr>
            <w:fldChar w:fldCharType="begin"/>
          </w:r>
          <w:r>
            <w:rPr>
              <w:sz w:val="24"/>
              <w:szCs w:val="24"/>
            </w:rPr>
            <w:instrText xml:space="preserve"> PAGEREF _Toc19449 </w:instrText>
          </w:r>
          <w:r>
            <w:rPr>
              <w:sz w:val="24"/>
              <w:szCs w:val="24"/>
            </w:rPr>
            <w:fldChar w:fldCharType="separate"/>
          </w:r>
          <w:r>
            <w:rPr>
              <w:sz w:val="24"/>
              <w:szCs w:val="24"/>
            </w:rPr>
            <w:t>69</w:t>
          </w:r>
          <w:r>
            <w:rPr>
              <w:sz w:val="24"/>
              <w:szCs w:val="24"/>
            </w:rPr>
            <w:fldChar w:fldCharType="end"/>
          </w:r>
          <w:r>
            <w:rPr>
              <w:sz w:val="24"/>
              <w:szCs w:val="24"/>
            </w:rPr>
            <w:fldChar w:fldCharType="end"/>
          </w:r>
        </w:p>
        <w:p w14:paraId="3B403FA7">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_Toc8097 </w:instrText>
          </w:r>
          <w:r>
            <w:rPr>
              <w:sz w:val="24"/>
              <w:szCs w:val="24"/>
            </w:rPr>
            <w:fldChar w:fldCharType="separate"/>
          </w:r>
          <w:r>
            <w:rPr>
              <w:rFonts w:hint="eastAsia" w:ascii="仿宋" w:hAnsi="仿宋" w:eastAsia="仿宋" w:cs="仿宋"/>
              <w:sz w:val="24"/>
              <w:szCs w:val="24"/>
            </w:rPr>
            <w:t xml:space="preserve">第二节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深化行政管理体制改革</w:t>
          </w:r>
          <w:r>
            <w:rPr>
              <w:sz w:val="24"/>
              <w:szCs w:val="24"/>
            </w:rPr>
            <w:tab/>
          </w:r>
          <w:r>
            <w:rPr>
              <w:sz w:val="24"/>
              <w:szCs w:val="24"/>
            </w:rPr>
            <w:fldChar w:fldCharType="begin"/>
          </w:r>
          <w:r>
            <w:rPr>
              <w:sz w:val="24"/>
              <w:szCs w:val="24"/>
            </w:rPr>
            <w:instrText xml:space="preserve"> PAGEREF _Toc8097 </w:instrText>
          </w:r>
          <w:r>
            <w:rPr>
              <w:sz w:val="24"/>
              <w:szCs w:val="24"/>
            </w:rPr>
            <w:fldChar w:fldCharType="separate"/>
          </w:r>
          <w:r>
            <w:rPr>
              <w:sz w:val="24"/>
              <w:szCs w:val="24"/>
            </w:rPr>
            <w:t>69</w:t>
          </w:r>
          <w:r>
            <w:rPr>
              <w:sz w:val="24"/>
              <w:szCs w:val="24"/>
            </w:rPr>
            <w:fldChar w:fldCharType="end"/>
          </w:r>
          <w:r>
            <w:rPr>
              <w:sz w:val="24"/>
              <w:szCs w:val="24"/>
            </w:rPr>
            <w:fldChar w:fldCharType="end"/>
          </w:r>
        </w:p>
        <w:p w14:paraId="33F5A18E">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_Toc13841 </w:instrText>
          </w:r>
          <w:r>
            <w:rPr>
              <w:sz w:val="24"/>
              <w:szCs w:val="24"/>
            </w:rPr>
            <w:fldChar w:fldCharType="separate"/>
          </w:r>
          <w:r>
            <w:rPr>
              <w:rFonts w:hint="eastAsia" w:ascii="仿宋" w:hAnsi="仿宋" w:eastAsia="仿宋" w:cs="仿宋"/>
              <w:sz w:val="24"/>
              <w:szCs w:val="24"/>
            </w:rPr>
            <w:t xml:space="preserve">第三节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创新财税金融机制</w:t>
          </w:r>
          <w:r>
            <w:rPr>
              <w:sz w:val="24"/>
              <w:szCs w:val="24"/>
            </w:rPr>
            <w:tab/>
          </w:r>
          <w:r>
            <w:rPr>
              <w:sz w:val="24"/>
              <w:szCs w:val="24"/>
            </w:rPr>
            <w:fldChar w:fldCharType="begin"/>
          </w:r>
          <w:r>
            <w:rPr>
              <w:sz w:val="24"/>
              <w:szCs w:val="24"/>
            </w:rPr>
            <w:instrText xml:space="preserve"> PAGEREF _Toc13841 </w:instrText>
          </w:r>
          <w:r>
            <w:rPr>
              <w:sz w:val="24"/>
              <w:szCs w:val="24"/>
            </w:rPr>
            <w:fldChar w:fldCharType="separate"/>
          </w:r>
          <w:r>
            <w:rPr>
              <w:sz w:val="24"/>
              <w:szCs w:val="24"/>
            </w:rPr>
            <w:t>70</w:t>
          </w:r>
          <w:r>
            <w:rPr>
              <w:sz w:val="24"/>
              <w:szCs w:val="24"/>
            </w:rPr>
            <w:fldChar w:fldCharType="end"/>
          </w:r>
          <w:r>
            <w:rPr>
              <w:sz w:val="24"/>
              <w:szCs w:val="24"/>
            </w:rPr>
            <w:fldChar w:fldCharType="end"/>
          </w:r>
        </w:p>
        <w:p w14:paraId="1810749A">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_Toc26230 </w:instrText>
          </w:r>
          <w:r>
            <w:rPr>
              <w:sz w:val="24"/>
              <w:szCs w:val="24"/>
            </w:rPr>
            <w:fldChar w:fldCharType="separate"/>
          </w:r>
          <w:r>
            <w:rPr>
              <w:rFonts w:hint="eastAsia" w:ascii="仿宋" w:hAnsi="仿宋" w:eastAsia="仿宋" w:cs="仿宋"/>
              <w:sz w:val="24"/>
              <w:szCs w:val="24"/>
            </w:rPr>
            <w:t xml:space="preserve">第四节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优化营商环境</w:t>
          </w:r>
          <w:r>
            <w:rPr>
              <w:sz w:val="24"/>
              <w:szCs w:val="24"/>
            </w:rPr>
            <w:tab/>
          </w:r>
          <w:r>
            <w:rPr>
              <w:sz w:val="24"/>
              <w:szCs w:val="24"/>
            </w:rPr>
            <w:fldChar w:fldCharType="begin"/>
          </w:r>
          <w:r>
            <w:rPr>
              <w:sz w:val="24"/>
              <w:szCs w:val="24"/>
            </w:rPr>
            <w:instrText xml:space="preserve"> PAGEREF _Toc26230 </w:instrText>
          </w:r>
          <w:r>
            <w:rPr>
              <w:sz w:val="24"/>
              <w:szCs w:val="24"/>
            </w:rPr>
            <w:fldChar w:fldCharType="separate"/>
          </w:r>
          <w:r>
            <w:rPr>
              <w:sz w:val="24"/>
              <w:szCs w:val="24"/>
            </w:rPr>
            <w:t>71</w:t>
          </w:r>
          <w:r>
            <w:rPr>
              <w:sz w:val="24"/>
              <w:szCs w:val="24"/>
            </w:rPr>
            <w:fldChar w:fldCharType="end"/>
          </w:r>
          <w:r>
            <w:rPr>
              <w:sz w:val="24"/>
              <w:szCs w:val="24"/>
            </w:rPr>
            <w:fldChar w:fldCharType="end"/>
          </w:r>
        </w:p>
        <w:p w14:paraId="18BD17B5">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_Toc16987 </w:instrText>
          </w:r>
          <w:r>
            <w:rPr>
              <w:sz w:val="24"/>
              <w:szCs w:val="24"/>
            </w:rPr>
            <w:fldChar w:fldCharType="separate"/>
          </w:r>
          <w:r>
            <w:rPr>
              <w:rFonts w:hint="eastAsia" w:ascii="仿宋" w:hAnsi="仿宋" w:eastAsia="仿宋" w:cs="仿宋"/>
              <w:sz w:val="24"/>
              <w:szCs w:val="24"/>
            </w:rPr>
            <w:t>第五节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加快推进开放合作</w:t>
          </w:r>
          <w:r>
            <w:rPr>
              <w:sz w:val="24"/>
              <w:szCs w:val="24"/>
            </w:rPr>
            <w:tab/>
          </w:r>
          <w:r>
            <w:rPr>
              <w:sz w:val="24"/>
              <w:szCs w:val="24"/>
            </w:rPr>
            <w:fldChar w:fldCharType="begin"/>
          </w:r>
          <w:r>
            <w:rPr>
              <w:sz w:val="24"/>
              <w:szCs w:val="24"/>
            </w:rPr>
            <w:instrText xml:space="preserve"> PAGEREF _Toc16987 </w:instrText>
          </w:r>
          <w:r>
            <w:rPr>
              <w:sz w:val="24"/>
              <w:szCs w:val="24"/>
            </w:rPr>
            <w:fldChar w:fldCharType="separate"/>
          </w:r>
          <w:r>
            <w:rPr>
              <w:sz w:val="24"/>
              <w:szCs w:val="24"/>
            </w:rPr>
            <w:t>73</w:t>
          </w:r>
          <w:r>
            <w:rPr>
              <w:sz w:val="24"/>
              <w:szCs w:val="24"/>
            </w:rPr>
            <w:fldChar w:fldCharType="end"/>
          </w:r>
          <w:r>
            <w:rPr>
              <w:sz w:val="24"/>
              <w:szCs w:val="24"/>
            </w:rPr>
            <w:fldChar w:fldCharType="end"/>
          </w:r>
        </w:p>
        <w:p w14:paraId="5D632F06">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_Toc20194 </w:instrText>
          </w:r>
          <w:r>
            <w:rPr>
              <w:b/>
              <w:sz w:val="24"/>
              <w:szCs w:val="24"/>
            </w:rPr>
            <w:fldChar w:fldCharType="separate"/>
          </w:r>
          <w:r>
            <w:rPr>
              <w:rFonts w:hint="eastAsia" w:ascii="黑体" w:hAnsi="黑体" w:eastAsia="黑体" w:cs="黑体"/>
              <w:b/>
              <w:bCs w:val="0"/>
              <w:sz w:val="24"/>
              <w:szCs w:val="24"/>
            </w:rPr>
            <w:t>第七章  促进社会团结进步 构筑</w:t>
          </w:r>
          <w:r>
            <w:rPr>
              <w:rFonts w:hint="eastAsia" w:ascii="黑体" w:hAnsi="黑体" w:eastAsia="黑体" w:cs="黑体"/>
              <w:b/>
              <w:bCs w:val="0"/>
              <w:sz w:val="24"/>
              <w:szCs w:val="24"/>
              <w:lang w:eastAsia="zh-CN"/>
            </w:rPr>
            <w:t>和谐</w:t>
          </w:r>
          <w:r>
            <w:rPr>
              <w:rFonts w:hint="eastAsia" w:ascii="黑体" w:hAnsi="黑体" w:eastAsia="黑体" w:cs="黑体"/>
              <w:b/>
              <w:bCs w:val="0"/>
              <w:sz w:val="24"/>
              <w:szCs w:val="24"/>
            </w:rPr>
            <w:t>扎赉特</w:t>
          </w:r>
          <w:r>
            <w:rPr>
              <w:b/>
              <w:sz w:val="24"/>
              <w:szCs w:val="24"/>
            </w:rPr>
            <w:tab/>
          </w:r>
          <w:r>
            <w:rPr>
              <w:b/>
              <w:sz w:val="24"/>
              <w:szCs w:val="24"/>
            </w:rPr>
            <w:fldChar w:fldCharType="begin"/>
          </w:r>
          <w:r>
            <w:rPr>
              <w:b/>
              <w:sz w:val="24"/>
              <w:szCs w:val="24"/>
            </w:rPr>
            <w:instrText xml:space="preserve"> PAGEREF _Toc20194 </w:instrText>
          </w:r>
          <w:r>
            <w:rPr>
              <w:b/>
              <w:sz w:val="24"/>
              <w:szCs w:val="24"/>
            </w:rPr>
            <w:fldChar w:fldCharType="separate"/>
          </w:r>
          <w:r>
            <w:rPr>
              <w:b/>
              <w:sz w:val="24"/>
              <w:szCs w:val="24"/>
            </w:rPr>
            <w:t>75</w:t>
          </w:r>
          <w:r>
            <w:rPr>
              <w:b/>
              <w:sz w:val="24"/>
              <w:szCs w:val="24"/>
            </w:rPr>
            <w:fldChar w:fldCharType="end"/>
          </w:r>
          <w:r>
            <w:rPr>
              <w:b/>
              <w:sz w:val="24"/>
              <w:szCs w:val="24"/>
            </w:rPr>
            <w:fldChar w:fldCharType="end"/>
          </w:r>
        </w:p>
        <w:p w14:paraId="2303A192">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_Toc21082 </w:instrText>
          </w:r>
          <w:r>
            <w:rPr>
              <w:sz w:val="24"/>
              <w:szCs w:val="24"/>
            </w:rPr>
            <w:fldChar w:fldCharType="separate"/>
          </w:r>
          <w:r>
            <w:rPr>
              <w:rFonts w:hint="eastAsia" w:ascii="仿宋" w:hAnsi="仿宋" w:eastAsia="仿宋" w:cs="仿宋"/>
              <w:sz w:val="24"/>
              <w:szCs w:val="24"/>
            </w:rPr>
            <w:t xml:space="preserve">第一节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促进文化繁荣发展</w:t>
          </w:r>
          <w:r>
            <w:rPr>
              <w:sz w:val="24"/>
              <w:szCs w:val="24"/>
            </w:rPr>
            <w:tab/>
          </w:r>
          <w:r>
            <w:rPr>
              <w:sz w:val="24"/>
              <w:szCs w:val="24"/>
            </w:rPr>
            <w:fldChar w:fldCharType="begin"/>
          </w:r>
          <w:r>
            <w:rPr>
              <w:sz w:val="24"/>
              <w:szCs w:val="24"/>
            </w:rPr>
            <w:instrText xml:space="preserve"> PAGEREF _Toc21082 </w:instrText>
          </w:r>
          <w:r>
            <w:rPr>
              <w:sz w:val="24"/>
              <w:szCs w:val="24"/>
            </w:rPr>
            <w:fldChar w:fldCharType="separate"/>
          </w:r>
          <w:r>
            <w:rPr>
              <w:sz w:val="24"/>
              <w:szCs w:val="24"/>
            </w:rPr>
            <w:t>75</w:t>
          </w:r>
          <w:r>
            <w:rPr>
              <w:sz w:val="24"/>
              <w:szCs w:val="24"/>
            </w:rPr>
            <w:fldChar w:fldCharType="end"/>
          </w:r>
          <w:r>
            <w:rPr>
              <w:sz w:val="24"/>
              <w:szCs w:val="24"/>
            </w:rPr>
            <w:fldChar w:fldCharType="end"/>
          </w:r>
        </w:p>
        <w:p w14:paraId="18106029">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_Toc28605 </w:instrText>
          </w:r>
          <w:r>
            <w:rPr>
              <w:sz w:val="24"/>
              <w:szCs w:val="24"/>
            </w:rPr>
            <w:fldChar w:fldCharType="separate"/>
          </w:r>
          <w:r>
            <w:rPr>
              <w:rFonts w:hint="eastAsia" w:ascii="仿宋" w:hAnsi="仿宋" w:eastAsia="仿宋" w:cs="仿宋"/>
              <w:sz w:val="24"/>
              <w:szCs w:val="24"/>
            </w:rPr>
            <w:t>第二节</w:t>
          </w:r>
          <w:r>
            <w:rPr>
              <w:rFonts w:hint="eastAsia" w:ascii="仿宋" w:hAnsi="仿宋" w:eastAsia="仿宋" w:cs="仿宋"/>
              <w:sz w:val="24"/>
              <w:szCs w:val="24"/>
              <w:lang w:eastAsia="zh-CN"/>
            </w:rPr>
            <w:t>　</w:t>
          </w:r>
          <w:r>
            <w:rPr>
              <w:rFonts w:hint="eastAsia" w:ascii="仿宋" w:hAnsi="仿宋" w:eastAsia="仿宋" w:cs="仿宋"/>
              <w:sz w:val="24"/>
              <w:szCs w:val="24"/>
            </w:rPr>
            <w:t>铸牢中华民族共同体意识</w:t>
          </w:r>
          <w:r>
            <w:rPr>
              <w:sz w:val="24"/>
              <w:szCs w:val="24"/>
            </w:rPr>
            <w:tab/>
          </w:r>
          <w:r>
            <w:rPr>
              <w:sz w:val="24"/>
              <w:szCs w:val="24"/>
            </w:rPr>
            <w:fldChar w:fldCharType="begin"/>
          </w:r>
          <w:r>
            <w:rPr>
              <w:sz w:val="24"/>
              <w:szCs w:val="24"/>
            </w:rPr>
            <w:instrText xml:space="preserve"> PAGEREF _Toc28605 </w:instrText>
          </w:r>
          <w:r>
            <w:rPr>
              <w:sz w:val="24"/>
              <w:szCs w:val="24"/>
            </w:rPr>
            <w:fldChar w:fldCharType="separate"/>
          </w:r>
          <w:r>
            <w:rPr>
              <w:sz w:val="24"/>
              <w:szCs w:val="24"/>
            </w:rPr>
            <w:t>76</w:t>
          </w:r>
          <w:r>
            <w:rPr>
              <w:sz w:val="24"/>
              <w:szCs w:val="24"/>
            </w:rPr>
            <w:fldChar w:fldCharType="end"/>
          </w:r>
          <w:r>
            <w:rPr>
              <w:sz w:val="24"/>
              <w:szCs w:val="24"/>
            </w:rPr>
            <w:fldChar w:fldCharType="end"/>
          </w:r>
        </w:p>
        <w:p w14:paraId="1712CF7D">
          <w:pPr>
            <w:pStyle w:val="1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_Toc30561 </w:instrText>
          </w:r>
          <w:r>
            <w:rPr>
              <w:sz w:val="24"/>
              <w:szCs w:val="24"/>
            </w:rPr>
            <w:fldChar w:fldCharType="separate"/>
          </w:r>
          <w:r>
            <w:rPr>
              <w:rFonts w:hint="eastAsia" w:ascii="仿宋" w:hAnsi="仿宋" w:eastAsia="仿宋" w:cs="仿宋"/>
              <w:sz w:val="24"/>
              <w:szCs w:val="24"/>
            </w:rPr>
            <w:t xml:space="preserve">第三节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全面推进依法治旗</w:t>
          </w:r>
          <w:r>
            <w:rPr>
              <w:sz w:val="24"/>
              <w:szCs w:val="24"/>
            </w:rPr>
            <w:tab/>
          </w:r>
          <w:r>
            <w:rPr>
              <w:sz w:val="24"/>
              <w:szCs w:val="24"/>
            </w:rPr>
            <w:fldChar w:fldCharType="begin"/>
          </w:r>
          <w:r>
            <w:rPr>
              <w:sz w:val="24"/>
              <w:szCs w:val="24"/>
            </w:rPr>
            <w:instrText xml:space="preserve"> PAGEREF _Toc30561 </w:instrText>
          </w:r>
          <w:r>
            <w:rPr>
              <w:sz w:val="24"/>
              <w:szCs w:val="24"/>
            </w:rPr>
            <w:fldChar w:fldCharType="separate"/>
          </w:r>
          <w:r>
            <w:rPr>
              <w:sz w:val="24"/>
              <w:szCs w:val="24"/>
            </w:rPr>
            <w:t>77</w:t>
          </w:r>
          <w:r>
            <w:rPr>
              <w:sz w:val="24"/>
              <w:szCs w:val="24"/>
            </w:rPr>
            <w:fldChar w:fldCharType="end"/>
          </w:r>
          <w:r>
            <w:rPr>
              <w:sz w:val="24"/>
              <w:szCs w:val="24"/>
            </w:rPr>
            <w:fldChar w:fldCharType="end"/>
          </w:r>
        </w:p>
        <w:p w14:paraId="26ED9B93">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_Toc31616 </w:instrText>
          </w:r>
          <w:r>
            <w:rPr>
              <w:sz w:val="24"/>
              <w:szCs w:val="24"/>
            </w:rPr>
            <w:fldChar w:fldCharType="separate"/>
          </w:r>
          <w:r>
            <w:rPr>
              <w:rFonts w:hint="eastAsia" w:ascii="仿宋" w:hAnsi="仿宋" w:eastAsia="仿宋" w:cs="仿宋"/>
              <w:sz w:val="24"/>
              <w:szCs w:val="24"/>
            </w:rPr>
            <w:t>第四节</w:t>
          </w:r>
          <w:r>
            <w:rPr>
              <w:rFonts w:hint="eastAsia" w:ascii="仿宋" w:hAnsi="仿宋" w:eastAsia="仿宋" w:cs="仿宋"/>
              <w:sz w:val="24"/>
              <w:szCs w:val="24"/>
              <w:lang w:eastAsia="zh-CN"/>
            </w:rPr>
            <w:t>　</w:t>
          </w:r>
          <w:r>
            <w:rPr>
              <w:rFonts w:hint="eastAsia" w:ascii="仿宋" w:hAnsi="仿宋" w:eastAsia="仿宋" w:cs="仿宋"/>
              <w:sz w:val="24"/>
              <w:szCs w:val="24"/>
            </w:rPr>
            <w:t>建设平安</w:t>
          </w:r>
          <w:r>
            <w:rPr>
              <w:rFonts w:hint="eastAsia" w:ascii="仿宋" w:hAnsi="仿宋" w:eastAsia="仿宋" w:cs="仿宋"/>
              <w:sz w:val="24"/>
              <w:szCs w:val="24"/>
              <w:lang w:eastAsia="zh-CN"/>
            </w:rPr>
            <w:t>县城</w:t>
          </w:r>
          <w:r>
            <w:rPr>
              <w:sz w:val="24"/>
              <w:szCs w:val="24"/>
            </w:rPr>
            <w:tab/>
          </w:r>
          <w:r>
            <w:rPr>
              <w:sz w:val="24"/>
              <w:szCs w:val="24"/>
            </w:rPr>
            <w:tab/>
          </w:r>
          <w:r>
            <w:rPr>
              <w:sz w:val="24"/>
              <w:szCs w:val="24"/>
            </w:rPr>
            <w:fldChar w:fldCharType="begin"/>
          </w:r>
          <w:r>
            <w:rPr>
              <w:sz w:val="24"/>
              <w:szCs w:val="24"/>
            </w:rPr>
            <w:instrText xml:space="preserve"> PAGEREF _Toc31616 </w:instrText>
          </w:r>
          <w:r>
            <w:rPr>
              <w:sz w:val="24"/>
              <w:szCs w:val="24"/>
            </w:rPr>
            <w:fldChar w:fldCharType="separate"/>
          </w:r>
          <w:r>
            <w:rPr>
              <w:sz w:val="24"/>
              <w:szCs w:val="24"/>
            </w:rPr>
            <w:t>78</w:t>
          </w:r>
          <w:r>
            <w:rPr>
              <w:sz w:val="24"/>
              <w:szCs w:val="24"/>
            </w:rPr>
            <w:fldChar w:fldCharType="end"/>
          </w:r>
          <w:r>
            <w:rPr>
              <w:sz w:val="24"/>
              <w:szCs w:val="24"/>
            </w:rPr>
            <w:fldChar w:fldCharType="end"/>
          </w:r>
        </w:p>
        <w:p w14:paraId="78E1D541">
          <w:pPr>
            <w:pStyle w:val="1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4"/>
              <w:szCs w:val="24"/>
            </w:rPr>
          </w:pPr>
          <w:r>
            <w:rPr>
              <w:b/>
              <w:sz w:val="24"/>
              <w:szCs w:val="24"/>
            </w:rPr>
            <w:fldChar w:fldCharType="begin"/>
          </w:r>
          <w:r>
            <w:rPr>
              <w:b/>
              <w:sz w:val="24"/>
              <w:szCs w:val="24"/>
            </w:rPr>
            <w:instrText xml:space="preserve"> HYPERLINK \l _Toc11951 </w:instrText>
          </w:r>
          <w:r>
            <w:rPr>
              <w:b/>
              <w:sz w:val="24"/>
              <w:szCs w:val="24"/>
            </w:rPr>
            <w:fldChar w:fldCharType="separate"/>
          </w:r>
          <w:r>
            <w:rPr>
              <w:rFonts w:hint="eastAsia" w:ascii="黑体" w:hAnsi="黑体" w:eastAsia="黑体" w:cs="黑体"/>
              <w:b/>
              <w:bCs w:val="0"/>
              <w:sz w:val="24"/>
              <w:szCs w:val="24"/>
            </w:rPr>
            <w:t>第八章 强化实施与保障　构筑</w:t>
          </w:r>
          <w:r>
            <w:rPr>
              <w:rFonts w:hint="eastAsia" w:ascii="黑体" w:hAnsi="黑体" w:eastAsia="黑体" w:cs="黑体"/>
              <w:b/>
              <w:bCs w:val="0"/>
              <w:sz w:val="24"/>
              <w:szCs w:val="24"/>
              <w:lang w:eastAsia="zh-CN"/>
            </w:rPr>
            <w:t>务实</w:t>
          </w:r>
          <w:r>
            <w:rPr>
              <w:rFonts w:hint="eastAsia" w:ascii="黑体" w:hAnsi="黑体" w:eastAsia="黑体" w:cs="黑体"/>
              <w:b/>
              <w:bCs w:val="0"/>
              <w:sz w:val="24"/>
              <w:szCs w:val="24"/>
            </w:rPr>
            <w:t>扎赉特</w:t>
          </w:r>
          <w:r>
            <w:rPr>
              <w:b/>
              <w:sz w:val="24"/>
              <w:szCs w:val="24"/>
            </w:rPr>
            <w:tab/>
          </w:r>
          <w:r>
            <w:rPr>
              <w:b/>
              <w:sz w:val="24"/>
              <w:szCs w:val="24"/>
            </w:rPr>
            <w:fldChar w:fldCharType="begin"/>
          </w:r>
          <w:r>
            <w:rPr>
              <w:b/>
              <w:sz w:val="24"/>
              <w:szCs w:val="24"/>
            </w:rPr>
            <w:instrText xml:space="preserve"> PAGEREF _Toc11951 </w:instrText>
          </w:r>
          <w:r>
            <w:rPr>
              <w:b/>
              <w:sz w:val="24"/>
              <w:szCs w:val="24"/>
            </w:rPr>
            <w:fldChar w:fldCharType="separate"/>
          </w:r>
          <w:r>
            <w:rPr>
              <w:b/>
              <w:sz w:val="24"/>
              <w:szCs w:val="24"/>
            </w:rPr>
            <w:t>83</w:t>
          </w:r>
          <w:r>
            <w:rPr>
              <w:b/>
              <w:sz w:val="24"/>
              <w:szCs w:val="24"/>
            </w:rPr>
            <w:fldChar w:fldCharType="end"/>
          </w:r>
          <w:r>
            <w:rPr>
              <w:b/>
              <w:sz w:val="24"/>
              <w:szCs w:val="24"/>
            </w:rPr>
            <w:fldChar w:fldCharType="end"/>
          </w:r>
        </w:p>
        <w:p w14:paraId="601AB182">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_Toc25713 </w:instrText>
          </w:r>
          <w:r>
            <w:rPr>
              <w:sz w:val="24"/>
              <w:szCs w:val="24"/>
            </w:rPr>
            <w:fldChar w:fldCharType="separate"/>
          </w:r>
          <w:r>
            <w:rPr>
              <w:rFonts w:hint="eastAsia" w:ascii="仿宋" w:hAnsi="仿宋" w:eastAsia="仿宋" w:cs="仿宋"/>
              <w:sz w:val="24"/>
              <w:szCs w:val="24"/>
            </w:rPr>
            <w:t>第一节</w:t>
          </w:r>
          <w:r>
            <w:rPr>
              <w:rFonts w:hint="eastAsia" w:ascii="仿宋" w:hAnsi="仿宋" w:eastAsia="仿宋" w:cs="仿宋"/>
              <w:sz w:val="24"/>
              <w:szCs w:val="24"/>
              <w:lang w:eastAsia="zh-CN"/>
            </w:rPr>
            <w:t>　</w:t>
          </w:r>
          <w:r>
            <w:rPr>
              <w:rFonts w:hint="eastAsia" w:ascii="仿宋" w:hAnsi="仿宋" w:eastAsia="仿宋" w:cs="仿宋"/>
              <w:sz w:val="24"/>
              <w:szCs w:val="24"/>
            </w:rPr>
            <w:t>加强党的领导</w:t>
          </w:r>
          <w:r>
            <w:rPr>
              <w:sz w:val="24"/>
              <w:szCs w:val="24"/>
            </w:rPr>
            <w:tab/>
          </w:r>
          <w:r>
            <w:rPr>
              <w:sz w:val="24"/>
              <w:szCs w:val="24"/>
            </w:rPr>
            <w:tab/>
          </w:r>
          <w:r>
            <w:rPr>
              <w:sz w:val="24"/>
              <w:szCs w:val="24"/>
            </w:rPr>
            <w:fldChar w:fldCharType="begin"/>
          </w:r>
          <w:r>
            <w:rPr>
              <w:sz w:val="24"/>
              <w:szCs w:val="24"/>
            </w:rPr>
            <w:instrText xml:space="preserve"> PAGEREF _Toc25713 </w:instrText>
          </w:r>
          <w:r>
            <w:rPr>
              <w:sz w:val="24"/>
              <w:szCs w:val="24"/>
            </w:rPr>
            <w:fldChar w:fldCharType="separate"/>
          </w:r>
          <w:r>
            <w:rPr>
              <w:sz w:val="24"/>
              <w:szCs w:val="24"/>
            </w:rPr>
            <w:t>83</w:t>
          </w:r>
          <w:r>
            <w:rPr>
              <w:sz w:val="24"/>
              <w:szCs w:val="24"/>
            </w:rPr>
            <w:fldChar w:fldCharType="end"/>
          </w:r>
          <w:r>
            <w:rPr>
              <w:sz w:val="24"/>
              <w:szCs w:val="24"/>
            </w:rPr>
            <w:fldChar w:fldCharType="end"/>
          </w:r>
        </w:p>
        <w:p w14:paraId="09EFC4CA">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_Toc27498 </w:instrText>
          </w:r>
          <w:r>
            <w:rPr>
              <w:sz w:val="24"/>
              <w:szCs w:val="24"/>
            </w:rPr>
            <w:fldChar w:fldCharType="separate"/>
          </w:r>
          <w:r>
            <w:rPr>
              <w:rFonts w:hint="eastAsia" w:ascii="仿宋" w:hAnsi="仿宋" w:eastAsia="仿宋" w:cs="仿宋"/>
              <w:sz w:val="24"/>
              <w:szCs w:val="24"/>
            </w:rPr>
            <w:t>第二节</w:t>
          </w:r>
          <w:r>
            <w:rPr>
              <w:rFonts w:hint="eastAsia" w:ascii="仿宋" w:hAnsi="仿宋" w:eastAsia="仿宋" w:cs="仿宋"/>
              <w:sz w:val="24"/>
              <w:szCs w:val="24"/>
              <w:lang w:eastAsia="zh-CN"/>
            </w:rPr>
            <w:t>　</w:t>
          </w:r>
          <w:r>
            <w:rPr>
              <w:rFonts w:hint="eastAsia" w:ascii="仿宋" w:hAnsi="仿宋" w:eastAsia="仿宋" w:cs="仿宋"/>
              <w:sz w:val="24"/>
              <w:szCs w:val="24"/>
            </w:rPr>
            <w:t>推进社会主义政治建设</w:t>
          </w:r>
          <w:r>
            <w:rPr>
              <w:sz w:val="24"/>
              <w:szCs w:val="24"/>
            </w:rPr>
            <w:tab/>
          </w:r>
          <w:r>
            <w:rPr>
              <w:sz w:val="24"/>
              <w:szCs w:val="24"/>
            </w:rPr>
            <w:fldChar w:fldCharType="begin"/>
          </w:r>
          <w:r>
            <w:rPr>
              <w:sz w:val="24"/>
              <w:szCs w:val="24"/>
            </w:rPr>
            <w:instrText xml:space="preserve"> PAGEREF _Toc27498 </w:instrText>
          </w:r>
          <w:r>
            <w:rPr>
              <w:sz w:val="24"/>
              <w:szCs w:val="24"/>
            </w:rPr>
            <w:fldChar w:fldCharType="separate"/>
          </w:r>
          <w:r>
            <w:rPr>
              <w:sz w:val="24"/>
              <w:szCs w:val="24"/>
            </w:rPr>
            <w:t>83</w:t>
          </w:r>
          <w:r>
            <w:rPr>
              <w:sz w:val="24"/>
              <w:szCs w:val="24"/>
            </w:rPr>
            <w:fldChar w:fldCharType="end"/>
          </w:r>
          <w:r>
            <w:rPr>
              <w:sz w:val="24"/>
              <w:szCs w:val="24"/>
            </w:rPr>
            <w:fldChar w:fldCharType="end"/>
          </w:r>
        </w:p>
        <w:p w14:paraId="268C0106">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4"/>
              <w:szCs w:val="24"/>
            </w:rPr>
          </w:pPr>
          <w:r>
            <w:rPr>
              <w:sz w:val="24"/>
              <w:szCs w:val="24"/>
            </w:rPr>
            <w:fldChar w:fldCharType="begin"/>
          </w:r>
          <w:r>
            <w:rPr>
              <w:sz w:val="24"/>
              <w:szCs w:val="24"/>
            </w:rPr>
            <w:instrText xml:space="preserve"> HYPERLINK \l _Toc23341 </w:instrText>
          </w:r>
          <w:r>
            <w:rPr>
              <w:sz w:val="24"/>
              <w:szCs w:val="24"/>
            </w:rPr>
            <w:fldChar w:fldCharType="separate"/>
          </w:r>
          <w:r>
            <w:rPr>
              <w:rFonts w:hint="eastAsia" w:ascii="仿宋" w:hAnsi="仿宋" w:eastAsia="仿宋" w:cs="仿宋"/>
              <w:sz w:val="24"/>
              <w:szCs w:val="24"/>
            </w:rPr>
            <w:t>第三节</w:t>
          </w:r>
          <w:r>
            <w:rPr>
              <w:rFonts w:hint="eastAsia" w:ascii="仿宋" w:hAnsi="仿宋" w:eastAsia="仿宋" w:cs="仿宋"/>
              <w:sz w:val="24"/>
              <w:szCs w:val="24"/>
              <w:lang w:eastAsia="zh-CN"/>
            </w:rPr>
            <w:t>　</w:t>
          </w:r>
          <w:r>
            <w:rPr>
              <w:rFonts w:hint="eastAsia" w:ascii="仿宋" w:hAnsi="仿宋" w:eastAsia="仿宋" w:cs="仿宋"/>
              <w:sz w:val="24"/>
              <w:szCs w:val="24"/>
            </w:rPr>
            <w:t>完善规划协调机制</w:t>
          </w:r>
          <w:r>
            <w:rPr>
              <w:sz w:val="24"/>
              <w:szCs w:val="24"/>
            </w:rPr>
            <w:tab/>
          </w:r>
          <w:r>
            <w:tab/>
          </w:r>
          <w:r>
            <w:rPr>
              <w:sz w:val="24"/>
              <w:szCs w:val="24"/>
            </w:rPr>
            <w:fldChar w:fldCharType="begin"/>
          </w:r>
          <w:r>
            <w:rPr>
              <w:sz w:val="24"/>
              <w:szCs w:val="24"/>
            </w:rPr>
            <w:instrText xml:space="preserve"> PAGEREF _Toc23341 </w:instrText>
          </w:r>
          <w:r>
            <w:rPr>
              <w:sz w:val="24"/>
              <w:szCs w:val="24"/>
            </w:rPr>
            <w:fldChar w:fldCharType="separate"/>
          </w:r>
          <w:r>
            <w:rPr>
              <w:sz w:val="24"/>
              <w:szCs w:val="24"/>
            </w:rPr>
            <w:t>84</w:t>
          </w:r>
          <w:r>
            <w:rPr>
              <w:sz w:val="24"/>
              <w:szCs w:val="24"/>
            </w:rPr>
            <w:fldChar w:fldCharType="end"/>
          </w:r>
          <w:r>
            <w:rPr>
              <w:sz w:val="24"/>
              <w:szCs w:val="24"/>
            </w:rPr>
            <w:fldChar w:fldCharType="end"/>
          </w:r>
        </w:p>
        <w:p w14:paraId="1A8BF9D8">
          <w:pPr>
            <w:pStyle w:val="18"/>
            <w:keepNext w:val="0"/>
            <w:keepLines w:val="0"/>
            <w:pageBreakBefore w:val="0"/>
            <w:widowControl/>
            <w:tabs>
              <w:tab w:val="right" w:pos="3600"/>
              <w:tab w:val="right" w:leader="dot" w:pos="8306"/>
            </w:tabs>
            <w:kinsoku/>
            <w:wordWrap/>
            <w:overflowPunct/>
            <w:topLinePunct w:val="0"/>
            <w:autoSpaceDE/>
            <w:autoSpaceDN/>
            <w:bidi w:val="0"/>
            <w:adjustRightInd/>
            <w:snapToGrid/>
            <w:spacing w:line="580" w:lineRule="exact"/>
            <w:textAlignment w:val="auto"/>
            <w:rPr>
              <w:sz w:val="28"/>
              <w:szCs w:val="28"/>
            </w:rPr>
          </w:pPr>
          <w:r>
            <w:rPr>
              <w:sz w:val="24"/>
              <w:szCs w:val="24"/>
            </w:rPr>
            <w:fldChar w:fldCharType="begin"/>
          </w:r>
          <w:r>
            <w:rPr>
              <w:sz w:val="24"/>
              <w:szCs w:val="24"/>
            </w:rPr>
            <w:instrText xml:space="preserve"> HYPERLINK \l _Toc17802 </w:instrText>
          </w:r>
          <w:r>
            <w:rPr>
              <w:sz w:val="24"/>
              <w:szCs w:val="24"/>
            </w:rPr>
            <w:fldChar w:fldCharType="separate"/>
          </w:r>
          <w:r>
            <w:rPr>
              <w:rFonts w:hint="eastAsia" w:ascii="仿宋" w:hAnsi="仿宋" w:eastAsia="仿宋" w:cs="仿宋"/>
              <w:sz w:val="24"/>
              <w:szCs w:val="24"/>
            </w:rPr>
            <w:t>第四节　强化落实监督</w:t>
          </w:r>
          <w:r>
            <w:rPr>
              <w:sz w:val="24"/>
              <w:szCs w:val="24"/>
            </w:rPr>
            <w:tab/>
          </w:r>
          <w:r>
            <w:rPr>
              <w:sz w:val="24"/>
              <w:szCs w:val="24"/>
            </w:rPr>
            <w:tab/>
          </w:r>
          <w:r>
            <w:rPr>
              <w:sz w:val="24"/>
              <w:szCs w:val="24"/>
            </w:rPr>
            <w:fldChar w:fldCharType="begin"/>
          </w:r>
          <w:r>
            <w:rPr>
              <w:sz w:val="24"/>
              <w:szCs w:val="24"/>
            </w:rPr>
            <w:instrText xml:space="preserve"> PAGEREF _Toc17802 </w:instrText>
          </w:r>
          <w:r>
            <w:rPr>
              <w:sz w:val="24"/>
              <w:szCs w:val="24"/>
            </w:rPr>
            <w:fldChar w:fldCharType="separate"/>
          </w:r>
          <w:r>
            <w:rPr>
              <w:sz w:val="24"/>
              <w:szCs w:val="24"/>
            </w:rPr>
            <w:t>84</w:t>
          </w:r>
          <w:r>
            <w:rPr>
              <w:sz w:val="24"/>
              <w:szCs w:val="24"/>
            </w:rPr>
            <w:fldChar w:fldCharType="end"/>
          </w:r>
          <w:r>
            <w:rPr>
              <w:sz w:val="24"/>
              <w:szCs w:val="24"/>
            </w:rPr>
            <w:fldChar w:fldCharType="end"/>
          </w:r>
        </w:p>
        <w:p w14:paraId="5D020670">
          <w:pPr>
            <w:rPr>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b/>
              <w:sz w:val="28"/>
              <w:szCs w:val="28"/>
            </w:rPr>
            <w:fldChar w:fldCharType="end"/>
          </w:r>
        </w:p>
      </w:sdtContent>
    </w:sdt>
    <w:p w14:paraId="55E17EA8">
      <w:pPr>
        <w:rPr>
          <w:b/>
        </w:rPr>
      </w:pPr>
    </w:p>
    <w:p w14:paraId="4E72A849">
      <w:pPr>
        <w:pStyle w:val="2"/>
        <w:rPr>
          <w:rFonts w:hint="eastAsia" w:ascii="仿宋" w:hAnsi="仿宋" w:eastAsia="仿宋" w:cs="仿宋"/>
          <w:color w:val="000000" w:themeColor="text1"/>
          <w:sz w:val="32"/>
          <w:szCs w:val="32"/>
          <w14:textFill>
            <w14:solidFill>
              <w14:schemeClr w14:val="tx1"/>
            </w14:solidFill>
          </w14:textFill>
        </w:rPr>
      </w:pPr>
    </w:p>
    <w:p w14:paraId="6B654B27">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“十四五”时期（2021—2025年），是扎赉特旗全面贯彻落实党的十九大和十九届二中、三中、四中、五中全会精神，深入贯彻落实习近平总书记对内蒙古工作重要讲话重要指示批示精神，坚定</w:t>
      </w:r>
      <w:r>
        <w:rPr>
          <w:rFonts w:hint="eastAsia" w:ascii="仿宋" w:hAnsi="仿宋" w:eastAsia="仿宋" w:cs="仿宋"/>
          <w:color w:val="000000" w:themeColor="text1"/>
          <w:sz w:val="32"/>
          <w:szCs w:val="32"/>
          <w:lang w:eastAsia="zh-CN"/>
          <w14:textFill>
            <w14:solidFill>
              <w14:schemeClr w14:val="tx1"/>
            </w14:solidFill>
          </w14:textFill>
        </w:rPr>
        <w:t>探索</w:t>
      </w:r>
      <w:r>
        <w:rPr>
          <w:rFonts w:hint="eastAsia" w:ascii="仿宋" w:hAnsi="仿宋" w:eastAsia="仿宋" w:cs="仿宋"/>
          <w:color w:val="000000" w:themeColor="text1"/>
          <w:sz w:val="32"/>
          <w:szCs w:val="32"/>
          <w14:textFill>
            <w14:solidFill>
              <w14:schemeClr w14:val="tx1"/>
            </w14:solidFill>
          </w14:textFill>
        </w:rPr>
        <w:t>以生态优先、绿色发展为导向</w:t>
      </w:r>
      <w:r>
        <w:rPr>
          <w:rFonts w:hint="eastAsia" w:ascii="仿宋" w:hAnsi="仿宋" w:eastAsia="仿宋" w:cs="仿宋"/>
          <w:color w:val="000000" w:themeColor="text1"/>
          <w:sz w:val="32"/>
          <w:szCs w:val="32"/>
          <w:lang w:eastAsia="zh-CN"/>
          <w14:textFill>
            <w14:solidFill>
              <w14:schemeClr w14:val="tx1"/>
            </w14:solidFill>
          </w14:textFill>
        </w:rPr>
        <w:t>的新路子的</w:t>
      </w:r>
      <w:r>
        <w:rPr>
          <w:rFonts w:hint="eastAsia" w:ascii="仿宋" w:hAnsi="仿宋" w:eastAsia="仿宋" w:cs="仿宋"/>
          <w:color w:val="000000" w:themeColor="text1"/>
          <w:sz w:val="32"/>
          <w:szCs w:val="32"/>
          <w14:textFill>
            <w14:solidFill>
              <w14:schemeClr w14:val="tx1"/>
            </w14:solidFill>
          </w14:textFill>
        </w:rPr>
        <w:t>重要时期，是积极</w:t>
      </w:r>
      <w:r>
        <w:rPr>
          <w:rFonts w:hint="eastAsia" w:ascii="仿宋" w:hAnsi="仿宋" w:eastAsia="仿宋" w:cs="仿宋"/>
          <w:color w:val="000000" w:themeColor="text1"/>
          <w:sz w:val="32"/>
          <w:szCs w:val="32"/>
          <w:lang w:eastAsia="zh-CN"/>
          <w14:textFill>
            <w14:solidFill>
              <w14:schemeClr w14:val="tx1"/>
            </w14:solidFill>
          </w14:textFill>
        </w:rPr>
        <w:t>迈向</w:t>
      </w:r>
      <w:r>
        <w:rPr>
          <w:rFonts w:hint="eastAsia" w:ascii="仿宋" w:hAnsi="仿宋" w:eastAsia="仿宋" w:cs="仿宋"/>
          <w:color w:val="000000" w:themeColor="text1"/>
          <w:sz w:val="32"/>
          <w:szCs w:val="32"/>
          <w14:textFill>
            <w14:solidFill>
              <w14:schemeClr w14:val="tx1"/>
            </w14:solidFill>
          </w14:textFill>
        </w:rPr>
        <w:t>开启现代化建设新征程的重要阶段。</w:t>
      </w:r>
      <w:r>
        <w:rPr>
          <w:rFonts w:hint="eastAsia" w:ascii="仿宋" w:hAnsi="仿宋" w:eastAsia="仿宋" w:cs="仿宋"/>
          <w:strike w:val="0"/>
          <w:color w:val="000000" w:themeColor="text1"/>
          <w:sz w:val="32"/>
          <w:szCs w:val="32"/>
          <w:u w:val="none" w:color="auto"/>
          <w:lang w:val="en-US" w:eastAsia="zh-CN"/>
          <w14:textFill>
            <w14:solidFill>
              <w14:schemeClr w14:val="tx1"/>
            </w14:solidFill>
          </w14:textFill>
        </w:rPr>
        <w:t>根据中央和自治区党委《关于制定国民经济和社会发展第十四个五年规划和二○三五年远景目标的建议》，</w:t>
      </w:r>
      <w:r>
        <w:rPr>
          <w:rFonts w:hint="eastAsia" w:ascii="仿宋" w:hAnsi="仿宋" w:eastAsia="仿宋" w:cs="仿宋"/>
          <w:color w:val="000000" w:themeColor="text1"/>
          <w:sz w:val="32"/>
          <w:szCs w:val="32"/>
          <w14:textFill>
            <w14:solidFill>
              <w14:schemeClr w14:val="tx1"/>
            </w14:solidFill>
          </w14:textFill>
        </w:rPr>
        <w:t>编制《扎赉特旗国民经济和社会发展第十四个五年规划和2035年远景目标纲要》，明确了扎赉特旗“十四五”时期发展的战略目标、主要任务和政策取向，是政府履行职责的重要依据，是今后五年乃至未来15年全旗上下推动经济社会发展的共同行动纲领。</w:t>
      </w:r>
      <w:bookmarkStart w:id="0" w:name="_Toc61280808"/>
      <w:bookmarkStart w:id="1" w:name="_Toc15309"/>
      <w:bookmarkStart w:id="2" w:name="_Toc24266_WPSOffice_Level1"/>
      <w:bookmarkStart w:id="3" w:name="_Toc16478"/>
    </w:p>
    <w:p w14:paraId="1C0DD58D">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7B50D152">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0F3B26E6">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712AA87F">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56EC3C9C">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70D86053">
      <w:pPr>
        <w:pageBreakBefore w:val="0"/>
        <w:kinsoku/>
        <w:wordWrap/>
        <w:overflowPunct/>
        <w:topLinePunct w:val="0"/>
        <w:autoSpaceDE/>
        <w:autoSpaceDN/>
        <w:bidi w:val="0"/>
        <w:adjustRightInd/>
        <w:snapToGrid/>
        <w:spacing w:line="7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7E2FDF88">
      <w:pPr>
        <w:pageBreakBefore w:val="0"/>
        <w:kinsoku/>
        <w:wordWrap/>
        <w:overflowPunct/>
        <w:topLinePunct w:val="0"/>
        <w:autoSpaceDE/>
        <w:autoSpaceDN/>
        <w:bidi w:val="0"/>
        <w:adjustRightInd/>
        <w:snapToGrid/>
        <w:spacing w:line="700" w:lineRule="exact"/>
        <w:ind w:firstLine="640"/>
        <w:jc w:val="center"/>
        <w:textAlignment w:val="auto"/>
        <w:outlineLvl w:val="0"/>
        <w:rPr>
          <w:rFonts w:hint="eastAsia" w:ascii="黑体" w:hAnsi="黑体" w:eastAsia="黑体" w:cs="黑体"/>
          <w:b/>
          <w:bCs/>
          <w:color w:val="000000" w:themeColor="text1"/>
          <w:sz w:val="36"/>
          <w:szCs w:val="36"/>
          <w14:textFill>
            <w14:solidFill>
              <w14:schemeClr w14:val="tx1"/>
            </w14:solidFill>
          </w14:textFill>
        </w:rPr>
      </w:pPr>
      <w:bookmarkStart w:id="4" w:name="_Toc4299"/>
      <w:r>
        <w:rPr>
          <w:rFonts w:hint="eastAsia" w:ascii="黑体" w:hAnsi="黑体" w:eastAsia="黑体" w:cs="黑体"/>
          <w:b/>
          <w:bCs/>
          <w:color w:val="000000" w:themeColor="text1"/>
          <w:sz w:val="36"/>
          <w:szCs w:val="36"/>
          <w14:textFill>
            <w14:solidFill>
              <w14:schemeClr w14:val="tx1"/>
            </w14:solidFill>
          </w14:textFill>
        </w:rPr>
        <w:t xml:space="preserve">第一章  </w:t>
      </w:r>
      <w:bookmarkEnd w:id="0"/>
      <w:r>
        <w:rPr>
          <w:rFonts w:hint="eastAsia" w:ascii="黑体" w:hAnsi="黑体" w:eastAsia="黑体" w:cs="黑体"/>
          <w:b/>
          <w:bCs/>
          <w:color w:val="000000" w:themeColor="text1"/>
          <w:sz w:val="36"/>
          <w:szCs w:val="36"/>
          <w:lang w:eastAsia="zh-CN"/>
          <w14:textFill>
            <w14:solidFill>
              <w14:schemeClr w14:val="tx1"/>
            </w14:solidFill>
          </w14:textFill>
        </w:rPr>
        <w:t>奠基蓄力谋发展</w:t>
      </w:r>
      <w:r>
        <w:rPr>
          <w:rFonts w:hint="eastAsia" w:ascii="黑体" w:hAnsi="黑体" w:eastAsia="黑体" w:cs="黑体"/>
          <w:b/>
          <w:bCs/>
          <w:color w:val="000000" w:themeColor="text1"/>
          <w:sz w:val="36"/>
          <w:szCs w:val="36"/>
          <w14:textFill>
            <w14:solidFill>
              <w14:schemeClr w14:val="tx1"/>
            </w14:solidFill>
          </w14:textFill>
        </w:rPr>
        <w:t>　构筑奋进扎赉特</w:t>
      </w:r>
      <w:bookmarkEnd w:id="1"/>
      <w:bookmarkEnd w:id="2"/>
      <w:bookmarkEnd w:id="3"/>
      <w:bookmarkEnd w:id="4"/>
    </w:p>
    <w:p w14:paraId="2EA49A22">
      <w:pPr>
        <w:pStyle w:val="4"/>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color w:val="000000" w:themeColor="text1"/>
          <w14:textFill>
            <w14:solidFill>
              <w14:schemeClr w14:val="tx1"/>
            </w14:solidFill>
          </w14:textFill>
        </w:rPr>
      </w:pPr>
      <w:bookmarkStart w:id="5" w:name="_Toc61280809"/>
      <w:bookmarkStart w:id="6" w:name="_Toc21671"/>
    </w:p>
    <w:p w14:paraId="11F82107">
      <w:pPr>
        <w:pStyle w:val="4"/>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000000" w:themeColor="text1"/>
          <w:kern w:val="0"/>
          <w14:textFill>
            <w14:solidFill>
              <w14:schemeClr w14:val="tx1"/>
            </w14:solidFill>
          </w14:textFill>
        </w:rPr>
      </w:pPr>
      <w:bookmarkStart w:id="7" w:name="_Toc8733"/>
      <w:bookmarkStart w:id="8" w:name="_Toc17787"/>
      <w:r>
        <w:rPr>
          <w:rFonts w:hint="eastAsia" w:ascii="仿宋" w:hAnsi="仿宋" w:eastAsia="仿宋" w:cs="仿宋"/>
          <w:color w:val="000000" w:themeColor="text1"/>
          <w14:textFill>
            <w14:solidFill>
              <w14:schemeClr w14:val="tx1"/>
            </w14:solidFill>
          </w14:textFill>
        </w:rPr>
        <w:t>第一节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发展成就</w:t>
      </w:r>
      <w:bookmarkEnd w:id="5"/>
      <w:bookmarkEnd w:id="6"/>
      <w:bookmarkEnd w:id="7"/>
      <w:bookmarkEnd w:id="8"/>
    </w:p>
    <w:p w14:paraId="2805FEE9">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五”时期是扎赉特旗经济社会发展极不平凡的五年，全旗坚持以习近平新时代中国特色社会主义思想为引领，全面贯彻执行国家、自治区和兴安盟各项战略部署，以发展为第一要务，扎实开展脱贫攻坚、促增长</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惠民生、防风险各项工作任务，砥砺奋进，务实苦干，推动经济社会发展稳步向前，较好完成了“十三五”规划各项目标任务，取得了来之不易成绩。</w:t>
      </w:r>
    </w:p>
    <w:p w14:paraId="688926FE">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综合实力稳步增强</w:t>
      </w:r>
      <w:r>
        <w:rPr>
          <w:rFonts w:hint="eastAsia" w:ascii="仿宋" w:hAnsi="仿宋" w:eastAsia="仿宋" w:cs="仿宋"/>
          <w:b/>
          <w:color w:val="000000" w:themeColor="text1"/>
          <w:sz w:val="32"/>
          <w:szCs w:val="32"/>
          <w:lang w:eastAsia="zh-CN"/>
          <w14:textFill>
            <w14:solidFill>
              <w14:schemeClr w14:val="tx1"/>
            </w14:solidFill>
          </w14:textFill>
        </w:rPr>
        <w:t>。五年来</w:t>
      </w:r>
      <w:r>
        <w:rPr>
          <w:rFonts w:hint="eastAsia" w:ascii="仿宋" w:hAnsi="仿宋" w:eastAsia="仿宋" w:cs="仿宋"/>
          <w:color w:val="000000" w:themeColor="text1"/>
          <w:sz w:val="32"/>
          <w:szCs w:val="32"/>
          <w14:textFill>
            <w14:solidFill>
              <w14:schemeClr w14:val="tx1"/>
            </w14:solidFill>
          </w14:textFill>
        </w:rPr>
        <w:t>，有效克服经济下行压力，经济</w:t>
      </w:r>
      <w:r>
        <w:rPr>
          <w:rFonts w:hint="eastAsia" w:ascii="仿宋" w:hAnsi="仿宋" w:eastAsia="仿宋" w:cs="仿宋"/>
          <w:color w:val="000000" w:themeColor="text1"/>
          <w:sz w:val="32"/>
          <w:szCs w:val="32"/>
          <w:lang w:eastAsia="zh-CN"/>
          <w14:textFill>
            <w14:solidFill>
              <w14:schemeClr w14:val="tx1"/>
            </w14:solidFill>
          </w14:textFill>
        </w:rPr>
        <w:t>保持</w:t>
      </w:r>
      <w:r>
        <w:rPr>
          <w:rFonts w:hint="eastAsia" w:ascii="仿宋" w:hAnsi="仿宋" w:eastAsia="仿宋" w:cs="仿宋"/>
          <w:color w:val="000000" w:themeColor="text1"/>
          <w:sz w:val="32"/>
          <w:szCs w:val="32"/>
          <w14:textFill>
            <w14:solidFill>
              <w14:schemeClr w14:val="tx1"/>
            </w14:solidFill>
          </w14:textFill>
        </w:rPr>
        <w:t>平稳健康发展。2020年全旗地区生产总值达到102.77亿元，人均地区生产总值（按常住人口计算）达到2.6万元；公共财政预算收入从2.4亿元增长到13.6亿元，公共财政预算支出年均增长7.7%；城乡居民人均可支配收入年均增长分别为7.5%和10.2%；社会消费品零售总额达到17.8 亿元；累计实施重大项目67项，总投资473.9亿元，完成招商引资190.7亿元，完成固定资产投资336亿元，国字号项目有序落地；稳妥化解地方政府性债务，累计化债12.16亿元，债务率在全区率先下降到100%以下。</w:t>
      </w:r>
    </w:p>
    <w:p w14:paraId="30C5DDE8">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产业发展有序推进。</w:t>
      </w:r>
      <w:r>
        <w:rPr>
          <w:rFonts w:hint="eastAsia" w:ascii="仿宋" w:hAnsi="仿宋" w:eastAsia="仿宋" w:cs="仿宋"/>
          <w:color w:val="000000" w:themeColor="text1"/>
          <w:sz w:val="32"/>
          <w:szCs w:val="32"/>
          <w14:textFill>
            <w14:solidFill>
              <w14:schemeClr w14:val="tx1"/>
            </w14:solidFill>
          </w14:textFill>
        </w:rPr>
        <w:t>围绕“两袋米、两头牛、两盒糖和全域旅游”，深化产业供给侧结构性改革，农畜产品加工体系初步形成，全域旅游破题起步，三次产业构成由2015年的40.5∶30.4∶29.1调整为2020年的51.5:9.2:39.3。农牧业发展水平不断提高。确定农牧业“3个20%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“3666”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“稳粮增经扩饲草”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“稳羊增牛扩猪禽”调整方向，粮食和畜牧生产连丰连稳。自治区首个“国家现代农业产业园”落户扎旗，智慧农业发展走在全国前列。玉米种植稳定在350万亩，水稻基地面积突破90万亩</w:t>
      </w:r>
      <w:r>
        <w:rPr>
          <w:rFonts w:hint="eastAsia" w:ascii="仿宋" w:hAnsi="仿宋" w:eastAsia="仿宋" w:cs="仿宋"/>
          <w:color w:val="000000" w:themeColor="text1"/>
          <w:sz w:val="32"/>
          <w:szCs w:val="32"/>
          <w:lang w:eastAsia="zh-CN"/>
          <w14:textFill>
            <w14:solidFill>
              <w14:schemeClr w14:val="tx1"/>
            </w14:solidFill>
          </w14:textFill>
        </w:rPr>
        <w:t>以上</w:t>
      </w:r>
      <w:r>
        <w:rPr>
          <w:rFonts w:hint="eastAsia" w:ascii="仿宋" w:hAnsi="仿宋" w:eastAsia="仿宋" w:cs="仿宋"/>
          <w:color w:val="000000" w:themeColor="text1"/>
          <w:sz w:val="32"/>
          <w:szCs w:val="32"/>
          <w14:textFill>
            <w14:solidFill>
              <w14:schemeClr w14:val="tx1"/>
            </w14:solidFill>
          </w14:textFill>
        </w:rPr>
        <w:t>，粮食产量稳定在35亿斤</w:t>
      </w:r>
      <w:r>
        <w:rPr>
          <w:rFonts w:hint="eastAsia" w:ascii="仿宋" w:hAnsi="仿宋" w:eastAsia="仿宋" w:cs="仿宋"/>
          <w:color w:val="000000" w:themeColor="text1"/>
          <w:sz w:val="32"/>
          <w:szCs w:val="32"/>
          <w:lang w:eastAsia="zh-CN"/>
          <w14:textFill>
            <w14:solidFill>
              <w14:schemeClr w14:val="tx1"/>
            </w14:solidFill>
          </w14:textFill>
        </w:rPr>
        <w:t>以上</w:t>
      </w:r>
      <w:r>
        <w:rPr>
          <w:rFonts w:hint="eastAsia" w:ascii="仿宋" w:hAnsi="仿宋" w:eastAsia="仿宋" w:cs="仿宋"/>
          <w:color w:val="000000" w:themeColor="text1"/>
          <w:sz w:val="32"/>
          <w:szCs w:val="32"/>
          <w14:textFill>
            <w14:solidFill>
              <w14:schemeClr w14:val="tx1"/>
            </w14:solidFill>
          </w14:textFill>
        </w:rPr>
        <w:t>；绿色有机水稻认证达到45万亩，旱种水稻面积达到12万亩，建成全国最大的旱作水稻种植基地。发展肉牛标准化规模场133家，生猪标准化规模场43家，家畜存栏稳定在290万头只。积极推介“我在扎赉特有一亩田”私人订制服务，“兴安盟大米·扎赉特味稻”市场认可度增强。获评“国家粮食生产先进县”、“第一批国家农产品质量安全县”、“全国农产品质量控制技术体系试点县”。工业经济加快发展。成功引进山水水泥、恒大粮油、河南牧原、益海嘉里等集团上市公司，培育了魏佳、谷语、雨森、丽通食品、兴义农机等本土知名企业，全旗规上工业企业达到18家，打造了“绰尔河”系列白酒、“恒大兴安”大米、“保安沼”大米、“兴义农丰”农机具等一批著名商标和名牌产品。新能源产业成为新亮点，建成并网光伏发电项目158.23兆瓦，风力发电和生物质发电项目有序推进。工业园区基础设施建设日趋完善，园区综合服务能力不断提升。现代服务业提速发展。高标准建设农业休闲观光带，“农旅休闲体验区”初具规模。环音德尔旅游带、绰尔托欣河国家湿地公园、神山国家森林公园建设持续推进，扎赉特旅游展示中心建成使用，农旅、文旅深度融合发展，累计接待游客300万人次。便民连锁超市、“乐村淘”直营店实现嘎查村全覆盖。建成全旗电商公共服务中心，成功进入国家级电子商务进农村示范县行列。</w:t>
      </w:r>
    </w:p>
    <w:p w14:paraId="13A9EE89">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脱贫攻坚取得决定性胜利。</w:t>
      </w:r>
      <w:r>
        <w:rPr>
          <w:rFonts w:hint="eastAsia" w:ascii="仿宋" w:hAnsi="仿宋" w:eastAsia="仿宋" w:cs="仿宋"/>
          <w:color w:val="000000" w:themeColor="text1"/>
          <w:sz w:val="32"/>
          <w:szCs w:val="32"/>
          <w14:textFill>
            <w14:solidFill>
              <w14:schemeClr w14:val="tx1"/>
            </w14:solidFill>
          </w14:textFill>
        </w:rPr>
        <w:t>坚持精准扶贫精准脱贫基本方略，大力推动产业扶贫，实施易地扶贫搬迁工程，全面落实教育、医疗、救助、健康扶贫防贫基金政策，深入开展京蒙扶贫协作和定点帮扶工作，开展职业技能和实用技术培训脱贫，累计脱贫</w:t>
      </w:r>
      <w:r>
        <w:rPr>
          <w:rFonts w:hint="eastAsia" w:ascii="仿宋" w:hAnsi="仿宋" w:eastAsia="仿宋" w:cs="仿宋"/>
          <w:color w:val="000000" w:themeColor="text1"/>
          <w:sz w:val="32"/>
          <w:szCs w:val="32"/>
          <w:lang w:val="en-US" w:eastAsia="zh-CN"/>
          <w14:textFill>
            <w14:solidFill>
              <w14:schemeClr w14:val="tx1"/>
            </w14:solidFill>
          </w14:textFill>
        </w:rPr>
        <w:t>14.2</w:t>
      </w:r>
      <w:r>
        <w:rPr>
          <w:rFonts w:hint="eastAsia" w:ascii="仿宋" w:hAnsi="仿宋" w:eastAsia="仿宋" w:cs="仿宋"/>
          <w:color w:val="000000" w:themeColor="text1"/>
          <w:sz w:val="32"/>
          <w:szCs w:val="32"/>
          <w14:textFill>
            <w14:solidFill>
              <w14:schemeClr w14:val="tx1"/>
            </w14:solidFill>
          </w14:textFill>
        </w:rPr>
        <w:t>万人，脱贫发生率从最高时的42%降至“零”，146个贫困嘎查村全部出列，2018年实现整体脱贫，提前实现“人脱贫、村退出、旗摘帽”。全面脱贫攻坚与乡村振兴有机衔接试点工作有序开展，获评“兴安盟建设乡村振兴样板区先进旗”，嘎查村集体经济收入全部达到20万元以上，多个嘎查村被认定为“全国一村一品示范村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“中国最美休闲乡村”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“全国乡村治理示范村”。</w:t>
      </w:r>
    </w:p>
    <w:p w14:paraId="54B3DA73">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民生福祉全面提升。</w:t>
      </w:r>
      <w:r>
        <w:rPr>
          <w:rFonts w:hint="eastAsia" w:ascii="仿宋" w:hAnsi="仿宋" w:eastAsia="仿宋" w:cs="仿宋"/>
          <w:color w:val="000000" w:themeColor="text1"/>
          <w:sz w:val="32"/>
          <w:szCs w:val="32"/>
          <w14:textFill>
            <w14:solidFill>
              <w14:schemeClr w14:val="tx1"/>
            </w14:solidFill>
          </w14:textFill>
        </w:rPr>
        <w:t>积极促进就业，全旗城镇累计新增就业9782人次，城镇失业人员再就业2954人次，城镇登记失业率控制在4.0%的任务线以内。教育事业健康发展，旗第三幼儿园、音德尔第七中学一期工程建成使用，第四幼儿园完成主体工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扎实开展教育扶贫工作，全旗贫困学生实现应助尽助，无因贫失学、辍学学生，荣获“全国义务教育基本均衡县”称号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等职业学校教育走在全盟前列。公立医院改革稳步推进，新蒙医院、阿拉坦花和小城子卫生院建成使用，旗妇幼保健院通过自治区二级甲等医院评审验收，蒙中医药诊疗服务实现全覆盖，医疗卫生服务水平持续提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面对突如其来的新冠肺炎疫情，全旗始终保持“零疑似、零确诊”，荣获“国家基层中医药工作先进旗县”、“区级慢病综合防控示范旗”、“区卫生应急示范旗”称号。实施全民参保计划，社会保障体系覆盖所有城乡居民。落实老年人优惠优待政策，综合老年养护院建成使用，养老服务机构数量、服务规模不断扩大。深入开展文化惠民、全民健身活动，加快乌兰牧骑事业发展，群众精神文化生活更加丰富。严格落实退役军人安置政策，扎实开展双拥优抚工作，荣获自治区“双拥模范旗”。扎实推进民族团结进步创建，获得“全国民族团结进步示范旗”荣誉称号。建成社会治理指挥服务中心，嘎查村（社区）党群服务中心实现全覆盖，构建“多网合一、全域覆盖”的“全科网格”，社会治理效能提升，获得全国社会综合治理“长安杯”奖。</w:t>
      </w:r>
    </w:p>
    <w:p w14:paraId="5AC575DB">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城乡建设展现新面貌。</w:t>
      </w:r>
      <w:r>
        <w:rPr>
          <w:rFonts w:hint="eastAsia" w:ascii="仿宋" w:hAnsi="仿宋" w:eastAsia="仿宋" w:cs="仿宋"/>
          <w:color w:val="000000" w:themeColor="text1"/>
          <w:sz w:val="32"/>
          <w:szCs w:val="32"/>
          <w14:textFill>
            <w14:solidFill>
              <w14:schemeClr w14:val="tx1"/>
            </w14:solidFill>
          </w14:textFill>
        </w:rPr>
        <w:t>持续推进公路、铁路、通用机场建设，交通路网日益织密，境内公路总里程达</w:t>
      </w:r>
      <w:r>
        <w:rPr>
          <w:rFonts w:hint="eastAsia" w:ascii="仿宋" w:hAnsi="仿宋" w:eastAsia="仿宋" w:cs="仿宋"/>
          <w:color w:val="000000" w:themeColor="text1"/>
          <w:sz w:val="32"/>
          <w:szCs w:val="32"/>
          <w:lang w:val="en-US" w:eastAsia="zh-CN"/>
          <w14:textFill>
            <w14:solidFill>
              <w14:schemeClr w14:val="tx1"/>
            </w14:solidFill>
          </w14:textFill>
        </w:rPr>
        <w:t>3036</w:t>
      </w:r>
      <w:r>
        <w:rPr>
          <w:rFonts w:hint="eastAsia" w:ascii="仿宋" w:hAnsi="仿宋" w:eastAsia="仿宋" w:cs="仿宋"/>
          <w:color w:val="000000" w:themeColor="text1"/>
          <w:sz w:val="32"/>
          <w:szCs w:val="32"/>
          <w14:textFill>
            <w14:solidFill>
              <w14:schemeClr w14:val="tx1"/>
            </w14:solidFill>
          </w14:textFill>
        </w:rPr>
        <w:t>公里，</w:t>
      </w:r>
      <w:r>
        <w:rPr>
          <w:rFonts w:hint="eastAsia" w:ascii="仿宋" w:hAnsi="仿宋" w:eastAsia="仿宋" w:cs="仿宋"/>
          <w:color w:val="000000" w:themeColor="text1"/>
          <w:sz w:val="32"/>
          <w:szCs w:val="32"/>
          <w:lang w:val="en-US" w:eastAsia="zh-CN"/>
          <w14:textFill>
            <w14:solidFill>
              <w14:schemeClr w14:val="tx1"/>
            </w14:solidFill>
          </w14:textFill>
        </w:rPr>
        <w:t>所有</w:t>
      </w:r>
      <w:r>
        <w:rPr>
          <w:rFonts w:hint="eastAsia" w:ascii="仿宋" w:hAnsi="仿宋" w:eastAsia="仿宋" w:cs="仿宋"/>
          <w:color w:val="000000" w:themeColor="text1"/>
          <w:sz w:val="32"/>
          <w:szCs w:val="32"/>
          <w14:textFill>
            <w14:solidFill>
              <w14:schemeClr w14:val="tx1"/>
            </w14:solidFill>
          </w14:textFill>
        </w:rPr>
        <w:t>嘎查村已通沥青（水泥）路、通客车率100%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获评“四好农村路”区级示范旗；铺设供热管网32.34公里、修建25座换热站；改造供水管线16.6公里；新建污水管线15公里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体化提升泵站1座，城市污水集中处理率达到98.36%，音德尔镇垃圾处理厂建成使用；扩建多兰湖公园，推进街路景点绿化亮化，城镇绿化覆盖率达到32.02%，主干道照明率达到100%；加强便民公厕、公共停车位建设，完成城镇老旧小区改造83处，城镇功能品质有效提升。开展村容村貌整治，实施农村危房改造工程，完成危房改造25816户；实施街巷硬化、饮水安全、农村户厕和电网升级改造工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农村人居环境明显改善。</w:t>
      </w:r>
    </w:p>
    <w:p w14:paraId="6CD433B9">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生态环境持续改善</w:t>
      </w:r>
      <w:r>
        <w:rPr>
          <w:rFonts w:hint="eastAsia" w:ascii="仿宋" w:hAnsi="仿宋" w:eastAsia="仿宋" w:cs="仿宋"/>
          <w:color w:val="000000" w:themeColor="text1"/>
          <w:sz w:val="32"/>
          <w:szCs w:val="32"/>
          <w14:textFill>
            <w14:solidFill>
              <w14:schemeClr w14:val="tx1"/>
            </w14:solidFill>
          </w14:textFill>
        </w:rPr>
        <w:t>。坚持生态优先、绿色发展，坚决打好污染防治攻坚战，绰尔托欣河国家湿地公园和神山国家森林公园获得国家批复设立，图牧吉国家级自然保护区问题整改全部完成，三大国家级自然保护地占全旗总面积近1/10；“大棚房”、草原违建、河湖“四乱”、别墅违建等问题有效整改。严格实施森林草原禁牧政策，稳步推进三北防护林、重点区域绿化生态工程，开展国有林场毁林开垦专项整治，年均造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万亩以上，森林覆盖率达到30.3%，荣获“全国绿化模范单位”称号，10个嘎查村获评“国家森林乡村”。深化河湖长制，扎实推进水污染治理、水生态修复、水资源保护“三水共治”，实施水土保持、中小河流、山洪沟等治理工程，强化水生态保护与修复。全国重点、自治区最大的水利工程引绰济辽工程开工建设，绰勒水利枢纽下游灌区骨干工程全面完成。持续实施“引绰济图”生态补水工程，实施节水灌溉、高标准农田建设等项目，获评“节水型社会建设达标县”。大力实施地质环境恢复治理工程、节能减排工程，环境空气自动监测站建成使用，减排任务全面完成。开展农业“四进四控”行动，农用地膜回收利用率达到80%以上。</w:t>
      </w:r>
    </w:p>
    <w:p w14:paraId="33E8BEFC">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改革开放不断深入。</w:t>
      </w:r>
      <w:r>
        <w:rPr>
          <w:rFonts w:hint="eastAsia" w:ascii="仿宋" w:hAnsi="仿宋" w:eastAsia="仿宋" w:cs="仿宋"/>
          <w:color w:val="000000" w:themeColor="text1"/>
          <w:sz w:val="32"/>
          <w:szCs w:val="32"/>
          <w14:textFill>
            <w14:solidFill>
              <w14:schemeClr w14:val="tx1"/>
            </w14:solidFill>
          </w14:textFill>
        </w:rPr>
        <w:t>不断深化“放管服”改革，优化营商环境，政务服务能力建设持续加强。构建“进一扇门、跑一个窗、办多个事”和“零跑腿”的政务服务新格局，建设一体化在线政务服务平台，打造“1个政务服务大厅＋13个乡级大厅＋196个村级服务站”的三级便民服务网，建立全盟首个工程建设项目审批专区和全盟首个企业开办专区，审批服务事项网上可办率达</w:t>
      </w:r>
      <w:r>
        <w:rPr>
          <w:rFonts w:hint="eastAsia" w:ascii="仿宋" w:hAnsi="仿宋" w:eastAsia="仿宋" w:cs="仿宋"/>
          <w:color w:val="000000" w:themeColor="text1"/>
          <w:sz w:val="32"/>
          <w:szCs w:val="32"/>
          <w:lang w:val="en-US" w:eastAsia="zh-CN"/>
          <w14:textFill>
            <w14:solidFill>
              <w14:schemeClr w14:val="tx1"/>
            </w14:solidFill>
          </w14:textFill>
        </w:rPr>
        <w:t>到</w:t>
      </w:r>
      <w:r>
        <w:rPr>
          <w:rFonts w:hint="eastAsia" w:ascii="仿宋" w:hAnsi="仿宋" w:eastAsia="仿宋" w:cs="仿宋"/>
          <w:color w:val="000000" w:themeColor="text1"/>
          <w:sz w:val="32"/>
          <w:szCs w:val="32"/>
          <w14:textFill>
            <w14:solidFill>
              <w14:schemeClr w14:val="tx1"/>
            </w14:solidFill>
          </w14:textFill>
        </w:rPr>
        <w:t>80%，办理时限平均压缩30%。农村牧区土地和草牧场承包经营权确权登记颁证全面完成，国有林场改革顺利通过区、盟验收。向北对外开放</w:t>
      </w:r>
      <w:r>
        <w:rPr>
          <w:rFonts w:hint="eastAsia" w:ascii="仿宋" w:hAnsi="仿宋" w:eastAsia="仿宋" w:cs="仿宋"/>
          <w:color w:val="000000" w:themeColor="text1"/>
          <w:sz w:val="32"/>
          <w:szCs w:val="32"/>
          <w:lang w:val="en-US" w:eastAsia="zh-CN"/>
          <w14:textFill>
            <w14:solidFill>
              <w14:schemeClr w14:val="tx1"/>
            </w14:solidFill>
          </w14:textFill>
        </w:rPr>
        <w:t>不断扩大</w:t>
      </w:r>
      <w:r>
        <w:rPr>
          <w:rFonts w:hint="eastAsia" w:ascii="仿宋" w:hAnsi="仿宋" w:eastAsia="仿宋" w:cs="仿宋"/>
          <w:color w:val="000000" w:themeColor="text1"/>
          <w:sz w:val="32"/>
          <w:szCs w:val="32"/>
          <w14:textFill>
            <w14:solidFill>
              <w14:schemeClr w14:val="tx1"/>
            </w14:solidFill>
          </w14:textFill>
        </w:rPr>
        <w:t>，与周边经济体区域合作</w:t>
      </w:r>
      <w:r>
        <w:rPr>
          <w:rFonts w:hint="eastAsia" w:ascii="仿宋" w:hAnsi="仿宋" w:eastAsia="仿宋" w:cs="仿宋"/>
          <w:color w:val="000000" w:themeColor="text1"/>
          <w:sz w:val="32"/>
          <w:szCs w:val="32"/>
          <w:lang w:val="en-US" w:eastAsia="zh-CN"/>
          <w14:textFill>
            <w14:solidFill>
              <w14:schemeClr w14:val="tx1"/>
            </w14:solidFill>
          </w14:textFill>
        </w:rPr>
        <w:t>持续</w:t>
      </w:r>
      <w:r>
        <w:rPr>
          <w:rFonts w:hint="eastAsia" w:ascii="仿宋" w:hAnsi="仿宋" w:eastAsia="仿宋" w:cs="仿宋"/>
          <w:color w:val="000000" w:themeColor="text1"/>
          <w:sz w:val="32"/>
          <w:szCs w:val="32"/>
          <w14:textFill>
            <w14:solidFill>
              <w14:schemeClr w14:val="tx1"/>
            </w14:solidFill>
          </w14:textFill>
        </w:rPr>
        <w:t>加强。</w:t>
      </w:r>
    </w:p>
    <w:p w14:paraId="5ED1F81E">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践证明，“十三五”取得的各项成就，是习近平新时代中国特色社会主义思想科学指引、举旗定向的结果，是党中央、自治区党委和盟委正确领导、有力指导的结果，是全旗干部群众上下一心、砥砺奋进的结果。</w:t>
      </w:r>
    </w:p>
    <w:p w14:paraId="0615B7E2">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全旗上下要再接再厉、一鼓作气，全面贯彻党的十九大和十九届二中、三中、四中、五中全会精神，</w:t>
      </w:r>
      <w:r>
        <w:rPr>
          <w:rFonts w:hint="eastAsia" w:ascii="仿宋" w:hAnsi="仿宋" w:eastAsia="仿宋" w:cs="仿宋"/>
          <w:color w:val="000000" w:themeColor="text1"/>
          <w:sz w:val="32"/>
          <w:szCs w:val="32"/>
          <w:lang w:val="en-US" w:eastAsia="zh-CN"/>
          <w14:textFill>
            <w14:solidFill>
              <w14:schemeClr w14:val="tx1"/>
            </w14:solidFill>
          </w14:textFill>
        </w:rPr>
        <w:t>深入贯彻落实</w:t>
      </w:r>
      <w:r>
        <w:rPr>
          <w:rFonts w:hint="eastAsia" w:ascii="仿宋" w:hAnsi="仿宋" w:eastAsia="仿宋" w:cs="仿宋"/>
          <w:color w:val="000000" w:themeColor="text1"/>
          <w:sz w:val="32"/>
          <w:szCs w:val="32"/>
          <w14:textFill>
            <w14:solidFill>
              <w14:schemeClr w14:val="tx1"/>
            </w14:solidFill>
          </w14:textFill>
        </w:rPr>
        <w:t>习近平总书记对内蒙古重要讲话重要指示批示精神，在自治区党委、盟委的坚强领导下，齐心协力、攻坚克难、开拓进取，立足新发展阶段，贯彻新发展理念，构建新发展格局，为全面建设社会主义现代化国家新征程、实现中华民族伟大复兴中国梦不懈奋斗！</w:t>
      </w:r>
    </w:p>
    <w:p w14:paraId="0355FEFB">
      <w:pPr>
        <w:pStyle w:val="4"/>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14:textFill>
            <w14:solidFill>
              <w14:schemeClr w14:val="tx1"/>
            </w14:solidFill>
          </w14:textFill>
        </w:rPr>
      </w:pPr>
      <w:bookmarkStart w:id="9" w:name="_Toc25060"/>
      <w:bookmarkStart w:id="10" w:name="_Toc22823"/>
      <w:bookmarkStart w:id="11" w:name="_Toc61280810"/>
      <w:bookmarkStart w:id="12" w:name="_Toc31163"/>
      <w:r>
        <w:rPr>
          <w:rFonts w:hint="eastAsia" w:ascii="仿宋" w:hAnsi="仿宋" w:eastAsia="仿宋" w:cs="仿宋"/>
          <w:color w:val="000000" w:themeColor="text1"/>
          <w14:textFill>
            <w14:solidFill>
              <w14:schemeClr w14:val="tx1"/>
            </w14:solidFill>
          </w14:textFill>
        </w:rPr>
        <w:t>第二节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面临形势</w:t>
      </w:r>
      <w:bookmarkEnd w:id="9"/>
      <w:bookmarkEnd w:id="10"/>
      <w:bookmarkEnd w:id="11"/>
      <w:bookmarkEnd w:id="12"/>
    </w:p>
    <w:p w14:paraId="0A3C15DD">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当前和今后一个时期，世界百年未有之大变局加速演变，新冠肺炎疫情影响广泛深远，国际环境不确定不稳定因素明显增加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我国开启全面建设社会主义现代化国家新征程，</w:t>
      </w:r>
      <w:r>
        <w:rPr>
          <w:rFonts w:hint="eastAsia" w:ascii="仿宋" w:hAnsi="仿宋" w:eastAsia="仿宋" w:cs="仿宋"/>
          <w:color w:val="000000" w:themeColor="text1"/>
          <w:sz w:val="32"/>
          <w:szCs w:val="32"/>
          <w14:textFill>
            <w14:solidFill>
              <w14:schemeClr w14:val="tx1"/>
            </w14:solidFill>
          </w14:textFill>
        </w:rPr>
        <w:t>加快构建以国内大循环为主体、国内国际双循环相互促进的新发展格局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自治区正按照习近平总书记为内蒙古擘画的蓝图总纲，贯彻落实国家战略部署，积极探索</w:t>
      </w:r>
      <w:r>
        <w:rPr>
          <w:rFonts w:hint="eastAsia" w:ascii="仿宋" w:hAnsi="仿宋" w:eastAsia="仿宋" w:cs="仿宋"/>
          <w:color w:val="000000" w:themeColor="text1"/>
          <w:sz w:val="32"/>
          <w:szCs w:val="32"/>
          <w:lang w:val="en-US" w:eastAsia="zh-CN"/>
          <w14:textFill>
            <w14:solidFill>
              <w14:schemeClr w14:val="tx1"/>
            </w14:solidFill>
          </w14:textFill>
        </w:rPr>
        <w:t>以</w:t>
      </w:r>
      <w:r>
        <w:rPr>
          <w:rFonts w:hint="eastAsia" w:ascii="仿宋" w:hAnsi="仿宋" w:eastAsia="仿宋" w:cs="仿宋"/>
          <w:color w:val="000000" w:themeColor="text1"/>
          <w:sz w:val="32"/>
          <w:szCs w:val="32"/>
          <w14:textFill>
            <w14:solidFill>
              <w14:schemeClr w14:val="tx1"/>
            </w14:solidFill>
          </w14:textFill>
        </w:rPr>
        <w:t>生态优先、绿色发展</w:t>
      </w:r>
      <w:r>
        <w:rPr>
          <w:rFonts w:hint="eastAsia" w:ascii="仿宋" w:hAnsi="仿宋" w:eastAsia="仿宋" w:cs="仿宋"/>
          <w:color w:val="000000" w:themeColor="text1"/>
          <w:sz w:val="32"/>
          <w:szCs w:val="32"/>
          <w:lang w:val="en-US" w:eastAsia="zh-CN"/>
          <w14:textFill>
            <w14:solidFill>
              <w14:schemeClr w14:val="tx1"/>
            </w14:solidFill>
          </w14:textFill>
        </w:rPr>
        <w:t>为导向</w:t>
      </w:r>
      <w:r>
        <w:rPr>
          <w:rFonts w:hint="eastAsia" w:ascii="仿宋" w:hAnsi="仿宋" w:eastAsia="仿宋" w:cs="仿宋"/>
          <w:color w:val="000000" w:themeColor="text1"/>
          <w:sz w:val="32"/>
          <w:szCs w:val="32"/>
          <w14:textFill>
            <w14:solidFill>
              <w14:schemeClr w14:val="tx1"/>
            </w14:solidFill>
          </w14:textFill>
        </w:rPr>
        <w:t>的高质量发展新路子，筑牢“两大屏障”，巩固“两大基地”。扎赉特旗同全国全区一样，发展既具有多方面优势和条件，也面临新的风险和挑战。</w:t>
      </w:r>
    </w:p>
    <w:p w14:paraId="411CC885">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highlight w:val="yellow"/>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从机遇看，国家加快构建以国内大循环为主体、国内国际双循环相互促进的新发展格局，</w:t>
      </w:r>
      <w:r>
        <w:rPr>
          <w:rFonts w:hint="eastAsia" w:ascii="仿宋" w:hAnsi="仿宋" w:eastAsia="仿宋" w:cs="仿宋"/>
          <w:color w:val="000000" w:themeColor="text1"/>
          <w:sz w:val="32"/>
          <w:szCs w:val="32"/>
          <w:lang w:val="en-US" w:eastAsia="zh-CN"/>
          <w14:textFill>
            <w14:solidFill>
              <w14:schemeClr w14:val="tx1"/>
            </w14:solidFill>
          </w14:textFill>
        </w:rPr>
        <w:t>大力</w:t>
      </w:r>
      <w:r>
        <w:rPr>
          <w:rFonts w:hint="eastAsia" w:ascii="仿宋" w:hAnsi="仿宋" w:eastAsia="仿宋" w:cs="仿宋"/>
          <w:color w:val="000000" w:themeColor="text1"/>
          <w:sz w:val="32"/>
          <w:szCs w:val="32"/>
          <w14:textFill>
            <w14:solidFill>
              <w14:schemeClr w14:val="tx1"/>
            </w14:solidFill>
          </w14:textFill>
        </w:rPr>
        <w:t>培育完</w:t>
      </w:r>
      <w:r>
        <w:rPr>
          <w:rFonts w:hint="eastAsia" w:ascii="仿宋" w:hAnsi="仿宋" w:eastAsia="仿宋" w:cs="仿宋"/>
          <w:color w:val="000000" w:themeColor="text1"/>
          <w:sz w:val="32"/>
          <w:szCs w:val="32"/>
          <w:lang w:val="en-US" w:eastAsia="zh-CN"/>
          <w14:textFill>
            <w14:solidFill>
              <w14:schemeClr w14:val="tx1"/>
            </w14:solidFill>
          </w14:textFill>
        </w:rPr>
        <w:t>整</w:t>
      </w:r>
      <w:r>
        <w:rPr>
          <w:rFonts w:hint="eastAsia" w:ascii="仿宋" w:hAnsi="仿宋" w:eastAsia="仿宋" w:cs="仿宋"/>
          <w:color w:val="000000" w:themeColor="text1"/>
          <w:sz w:val="32"/>
          <w:szCs w:val="32"/>
          <w14:textFill>
            <w14:solidFill>
              <w14:schemeClr w14:val="tx1"/>
            </w14:solidFill>
          </w14:textFill>
        </w:rPr>
        <w:t>内需体系，</w:t>
      </w:r>
      <w:r>
        <w:rPr>
          <w:rFonts w:hint="eastAsia" w:ascii="仿宋" w:hAnsi="仿宋" w:eastAsia="仿宋" w:cs="仿宋"/>
          <w:color w:val="000000" w:themeColor="text1"/>
          <w:sz w:val="32"/>
          <w:szCs w:val="32"/>
          <w:lang w:val="en-US" w:eastAsia="zh-CN"/>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扎赉特旗优质高端农畜产品、文旅、道地药材等产业</w:t>
      </w:r>
      <w:r>
        <w:rPr>
          <w:rFonts w:hint="eastAsia" w:ascii="仿宋" w:hAnsi="仿宋" w:eastAsia="仿宋" w:cs="仿宋"/>
          <w:color w:val="000000" w:themeColor="text1"/>
          <w:sz w:val="32"/>
          <w:szCs w:val="32"/>
          <w:lang w:val="en-US" w:eastAsia="zh-CN"/>
          <w14:textFill>
            <w14:solidFill>
              <w14:schemeClr w14:val="tx1"/>
            </w14:solidFill>
          </w14:textFill>
        </w:rPr>
        <w:t>开辟广阔发展</w:t>
      </w:r>
      <w:r>
        <w:rPr>
          <w:rFonts w:hint="eastAsia" w:ascii="仿宋" w:hAnsi="仿宋" w:eastAsia="仿宋" w:cs="仿宋"/>
          <w:color w:val="000000" w:themeColor="text1"/>
          <w:sz w:val="32"/>
          <w:szCs w:val="32"/>
          <w14:textFill>
            <w14:solidFill>
              <w14:schemeClr w14:val="tx1"/>
            </w14:solidFill>
          </w14:textFill>
        </w:rPr>
        <w:t>空间。</w:t>
      </w:r>
      <w:r>
        <w:rPr>
          <w:rFonts w:hint="eastAsia" w:ascii="仿宋" w:hAnsi="仿宋" w:eastAsia="仿宋" w:cs="仿宋"/>
          <w:color w:val="000000" w:themeColor="text1"/>
          <w:sz w:val="32"/>
          <w:szCs w:val="32"/>
          <w:lang w:val="en-US" w:eastAsia="zh-CN"/>
          <w14:textFill>
            <w14:solidFill>
              <w14:schemeClr w14:val="tx1"/>
            </w14:solidFill>
          </w14:textFill>
        </w:rPr>
        <w:t>国家</w:t>
      </w:r>
      <w:r>
        <w:rPr>
          <w:rFonts w:hint="eastAsia" w:ascii="仿宋" w:hAnsi="仿宋" w:eastAsia="仿宋" w:cs="仿宋"/>
          <w:color w:val="000000" w:themeColor="text1"/>
          <w:sz w:val="32"/>
          <w:szCs w:val="32"/>
          <w14:textFill>
            <w14:solidFill>
              <w14:schemeClr w14:val="tx1"/>
            </w14:solidFill>
          </w14:textFill>
        </w:rPr>
        <w:t>全面推进乡村振兴</w:t>
      </w:r>
      <w:r>
        <w:rPr>
          <w:rFonts w:hint="eastAsia" w:ascii="仿宋" w:hAnsi="仿宋" w:eastAsia="仿宋" w:cs="仿宋"/>
          <w:color w:val="000000" w:themeColor="text1"/>
          <w:sz w:val="32"/>
          <w:szCs w:val="32"/>
          <w:lang w:eastAsia="zh-CN"/>
          <w14:textFill>
            <w14:solidFill>
              <w14:schemeClr w14:val="tx1"/>
            </w14:solidFill>
          </w14:textFill>
        </w:rPr>
        <w:t>，举全党全社会之力</w:t>
      </w:r>
      <w:r>
        <w:rPr>
          <w:rFonts w:hint="eastAsia" w:ascii="仿宋" w:hAnsi="仿宋" w:eastAsia="仿宋" w:cs="仿宋"/>
          <w:color w:val="000000" w:themeColor="text1"/>
          <w:sz w:val="32"/>
          <w:szCs w:val="32"/>
          <w14:textFill>
            <w14:solidFill>
              <w14:schemeClr w14:val="tx1"/>
            </w14:solidFill>
          </w14:textFill>
        </w:rPr>
        <w:t>加快农业农村现代化</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有序推进生物育种产业化应用，建设国家粮食安全产业带，</w:t>
      </w:r>
      <w:r>
        <w:rPr>
          <w:rFonts w:hint="eastAsia" w:ascii="仿宋" w:hAnsi="仿宋" w:eastAsia="仿宋" w:cs="仿宋"/>
          <w:color w:val="000000" w:themeColor="text1"/>
          <w:sz w:val="32"/>
          <w:szCs w:val="32"/>
          <w:highlight w:val="none"/>
          <w:lang w:val="en-US" w:eastAsia="zh-CN"/>
          <w14:textFill>
            <w14:solidFill>
              <w14:schemeClr w14:val="tx1"/>
            </w14:solidFill>
          </w14:textFill>
        </w:rPr>
        <w:t>更加彰显扎赉特旗</w:t>
      </w:r>
      <w:r>
        <w:rPr>
          <w:rFonts w:hint="eastAsia" w:ascii="仿宋" w:hAnsi="仿宋" w:eastAsia="仿宋" w:cs="仿宋"/>
          <w:color w:val="000000" w:themeColor="text1"/>
          <w:sz w:val="32"/>
          <w:szCs w:val="32"/>
          <w:highlight w:val="none"/>
          <w14:textFill>
            <w14:solidFill>
              <w14:schemeClr w14:val="tx1"/>
            </w14:solidFill>
          </w14:textFill>
        </w:rPr>
        <w:t>“塞外粮仓”</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“金稻之乡”</w:t>
      </w:r>
      <w:r>
        <w:rPr>
          <w:rFonts w:hint="eastAsia" w:ascii="仿宋" w:hAnsi="仿宋" w:eastAsia="仿宋" w:cs="仿宋"/>
          <w:color w:val="000000" w:themeColor="text1"/>
          <w:sz w:val="32"/>
          <w:szCs w:val="32"/>
          <w:highlight w:val="none"/>
          <w:lang w:val="en-US" w:eastAsia="zh-CN"/>
          <w14:textFill>
            <w14:solidFill>
              <w14:schemeClr w14:val="tx1"/>
            </w14:solidFill>
          </w14:textFill>
        </w:rPr>
        <w:t>的价值</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为扎赉特旗经济社会全面发展注入新活力。以新一代信息技术、新能源、新材料、生命科学为代表的科技革命和产业变革迈向全面拓展期，为扎赉特旗高质量发展插上智慧翅膀，加快产业结构调整升级步伐，提升产业链供应链现代化水平。</w:t>
      </w:r>
    </w:p>
    <w:p w14:paraId="634DDEE7">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从挑战看，</w:t>
      </w:r>
      <w:r>
        <w:rPr>
          <w:rFonts w:hint="eastAsia" w:ascii="仿宋" w:hAnsi="仿宋" w:eastAsia="仿宋" w:cs="仿宋"/>
          <w:color w:val="000000" w:themeColor="text1"/>
          <w:sz w:val="32"/>
          <w:szCs w:val="32"/>
          <w:highlight w:val="none"/>
          <w:lang w:val="en-US" w:eastAsia="zh-CN"/>
          <w14:textFill>
            <w14:solidFill>
              <w14:schemeClr w14:val="tx1"/>
            </w14:solidFill>
          </w14:textFill>
        </w:rPr>
        <w:t>受我国经济增长增速下移影响，</w:t>
      </w:r>
      <w:r>
        <w:rPr>
          <w:rFonts w:hint="eastAsia" w:ascii="仿宋" w:hAnsi="仿宋" w:eastAsia="仿宋" w:cs="仿宋"/>
          <w:color w:val="000000" w:themeColor="text1"/>
          <w:sz w:val="32"/>
          <w:szCs w:val="32"/>
          <w:highlight w:val="none"/>
          <w14:textFill>
            <w14:solidFill>
              <w14:schemeClr w14:val="tx1"/>
            </w14:solidFill>
          </w14:textFill>
        </w:rPr>
        <w:t>经济下行压力进一步加大；科技创新能力欠缺，经济增长动能不强，产业层次偏低；生态环境基础仍不稳固，资源综合利用水平仍然较低，绿色生态价值向经济价值转变的长效机制尚未形成；基础设施、公共服务、民生保障短板依然存在，满足人民群众日益增长的美好生活需要仍需加压加力；乡村振兴任重道远，城乡收入分配差距仍然较大；维护民族团结、社会稳定任务艰巨，铸牢中华民族共同体意识还需久久为功；</w:t>
      </w:r>
      <w:r>
        <w:rPr>
          <w:rFonts w:hint="eastAsia" w:ascii="仿宋" w:hAnsi="仿宋" w:eastAsia="仿宋" w:cs="仿宋"/>
          <w:color w:val="000000" w:themeColor="text1"/>
          <w:sz w:val="32"/>
          <w:szCs w:val="32"/>
          <w:highlight w:val="none"/>
          <w:lang w:eastAsia="zh-CN"/>
          <w14:textFill>
            <w14:solidFill>
              <w14:schemeClr w14:val="tx1"/>
            </w14:solidFill>
          </w14:textFill>
        </w:rPr>
        <w:t>个别</w:t>
      </w:r>
      <w:r>
        <w:rPr>
          <w:rFonts w:hint="eastAsia" w:ascii="仿宋" w:hAnsi="仿宋" w:eastAsia="仿宋" w:cs="仿宋"/>
          <w:color w:val="000000" w:themeColor="text1"/>
          <w:sz w:val="32"/>
          <w:szCs w:val="32"/>
          <w:highlight w:val="none"/>
          <w14:textFill>
            <w14:solidFill>
              <w14:schemeClr w14:val="tx1"/>
            </w14:solidFill>
          </w14:textFill>
        </w:rPr>
        <w:t>干部思想观念落后，工作作风拖沓，能力水平不足，难以满足高质量发展要求，营商环境、政务服务效率亟待加强。</w:t>
      </w:r>
    </w:p>
    <w:p w14:paraId="26CE9511">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“十四五”时期是扎赉特旗全面推进社会主义现代化建设的开局阶段，要深刻认识新形势、新机遇、新挑战，突出问题导向，打破发展瓶颈，</w:t>
      </w:r>
      <w:r>
        <w:rPr>
          <w:rFonts w:hint="eastAsia" w:ascii="仿宋" w:hAnsi="仿宋" w:eastAsia="仿宋" w:cs="仿宋"/>
          <w:color w:val="000000" w:themeColor="text1"/>
          <w:sz w:val="32"/>
          <w:szCs w:val="32"/>
          <w:highlight w:val="none"/>
          <w:lang w:val="en-US" w:eastAsia="zh-CN"/>
          <w14:textFill>
            <w14:solidFill>
              <w14:schemeClr w14:val="tx1"/>
            </w14:solidFill>
          </w14:textFill>
        </w:rPr>
        <w:t>积极探索经济社会高质量发展新路径</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全面开启高质量发展新局面。</w:t>
      </w:r>
      <w:r>
        <w:rPr>
          <w:rFonts w:hint="eastAsia" w:ascii="仿宋" w:hAnsi="仿宋" w:eastAsia="仿宋" w:cs="仿宋"/>
          <w:b/>
          <w:color w:val="000000" w:themeColor="text1"/>
          <w:sz w:val="32"/>
          <w:szCs w:val="32"/>
          <w14:textFill>
            <w14:solidFill>
              <w14:schemeClr w14:val="tx1"/>
            </w14:solidFill>
          </w14:textFill>
        </w:rPr>
        <w:t>紧紧抓住产业升级窗口期，</w:t>
      </w:r>
      <w:r>
        <w:rPr>
          <w:rFonts w:hint="eastAsia" w:ascii="仿宋" w:hAnsi="仿宋" w:eastAsia="仿宋" w:cs="仿宋"/>
          <w:color w:val="000000" w:themeColor="text1"/>
          <w:sz w:val="32"/>
          <w:szCs w:val="32"/>
          <w14:textFill>
            <w14:solidFill>
              <w14:schemeClr w14:val="tx1"/>
            </w14:solidFill>
          </w14:textFill>
        </w:rPr>
        <w:t>立足农牧业资源禀赋和比较优势，打好强链、延链、补链攻坚战，着力打造绿色产业体系，大力促进产业融合创新，推动产业体系向绿色、高端、特色、智慧化方向发展。</w:t>
      </w:r>
      <w:r>
        <w:rPr>
          <w:rFonts w:hint="eastAsia" w:ascii="仿宋" w:hAnsi="仿宋" w:eastAsia="仿宋" w:cs="仿宋"/>
          <w:b/>
          <w:color w:val="000000" w:themeColor="text1"/>
          <w:sz w:val="32"/>
          <w:szCs w:val="32"/>
          <w14:textFill>
            <w14:solidFill>
              <w14:schemeClr w14:val="tx1"/>
            </w14:solidFill>
          </w14:textFill>
        </w:rPr>
        <w:t>紧紧抓住城镇品质提升期，</w:t>
      </w:r>
      <w:r>
        <w:rPr>
          <w:rFonts w:hint="eastAsia" w:ascii="仿宋" w:hAnsi="仿宋" w:eastAsia="仿宋" w:cs="仿宋"/>
          <w:color w:val="000000" w:themeColor="text1"/>
          <w:sz w:val="32"/>
          <w:szCs w:val="32"/>
          <w14:textFill>
            <w14:solidFill>
              <w14:schemeClr w14:val="tx1"/>
            </w14:solidFill>
          </w14:textFill>
        </w:rPr>
        <w:t>着力补足基础设施和公共服务短板，提升城镇规划建设水平、治理能力和文化品位，彰显城镇历史文脉，实现由规模扩张向精细化治理转变。</w:t>
      </w:r>
      <w:r>
        <w:rPr>
          <w:rFonts w:hint="eastAsia" w:ascii="仿宋" w:hAnsi="仿宋" w:eastAsia="仿宋" w:cs="仿宋"/>
          <w:b/>
          <w:color w:val="000000" w:themeColor="text1"/>
          <w:sz w:val="32"/>
          <w:szCs w:val="32"/>
          <w14:textFill>
            <w14:solidFill>
              <w14:schemeClr w14:val="tx1"/>
            </w14:solidFill>
          </w14:textFill>
        </w:rPr>
        <w:t>紧紧抓住绿色发展巩固期，</w:t>
      </w:r>
      <w:r>
        <w:rPr>
          <w:rFonts w:hint="eastAsia" w:ascii="仿宋" w:hAnsi="仿宋" w:eastAsia="仿宋" w:cs="仿宋"/>
          <w:color w:val="000000" w:themeColor="text1"/>
          <w:sz w:val="32"/>
          <w:szCs w:val="32"/>
          <w14:textFill>
            <w14:solidFill>
              <w14:schemeClr w14:val="tx1"/>
            </w14:solidFill>
          </w14:textFill>
        </w:rPr>
        <w:t>统筹山水林田湖草系统治理，强化图牧吉国家级自然保护区保护力度，稳步推进三北防护林、重点区域绿化等重点生态工程，深入推进流域和草原生态环境保护和治理，加大侵蚀沟治理力度，提高资源利用效率，促进人与自然和谐共生。</w:t>
      </w:r>
      <w:r>
        <w:rPr>
          <w:rFonts w:hint="eastAsia" w:ascii="仿宋" w:hAnsi="仿宋" w:eastAsia="仿宋" w:cs="仿宋"/>
          <w:b/>
          <w:color w:val="000000" w:themeColor="text1"/>
          <w:sz w:val="32"/>
          <w:szCs w:val="32"/>
          <w14:textFill>
            <w14:solidFill>
              <w14:schemeClr w14:val="tx1"/>
            </w14:solidFill>
          </w14:textFill>
        </w:rPr>
        <w:t>紧紧抓住民生保障提高期，</w:t>
      </w:r>
      <w:r>
        <w:rPr>
          <w:rFonts w:hint="eastAsia" w:ascii="仿宋" w:hAnsi="仿宋" w:eastAsia="仿宋" w:cs="仿宋"/>
          <w:color w:val="000000" w:themeColor="text1"/>
          <w:sz w:val="32"/>
          <w:szCs w:val="32"/>
          <w14:textFill>
            <w14:solidFill>
              <w14:schemeClr w14:val="tx1"/>
            </w14:solidFill>
          </w14:textFill>
        </w:rPr>
        <w:t>不断提高公共服务质量和均等化水平，推进脱贫攻坚与乡村振兴有机衔接，用心用情用力解决教育、就业、社保、住房、医疗、养老、食品安全等人民群众关心的实际问题，把人民群众对美好生活的向往一步一步变为现实。</w:t>
      </w:r>
    </w:p>
    <w:p w14:paraId="0631963A">
      <w:pPr>
        <w:pStyle w:val="4"/>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14:textFill>
            <w14:solidFill>
              <w14:schemeClr w14:val="tx1"/>
            </w14:solidFill>
          </w14:textFill>
        </w:rPr>
      </w:pPr>
      <w:bookmarkStart w:id="13" w:name="_Toc22217"/>
      <w:bookmarkStart w:id="14" w:name="_Toc10021"/>
      <w:bookmarkStart w:id="15" w:name="_Toc61280811"/>
      <w:bookmarkStart w:id="16" w:name="_Toc24942"/>
      <w:r>
        <w:rPr>
          <w:rFonts w:hint="eastAsia" w:ascii="仿宋" w:hAnsi="仿宋" w:eastAsia="仿宋" w:cs="仿宋"/>
          <w:color w:val="000000" w:themeColor="text1"/>
          <w14:textFill>
            <w14:solidFill>
              <w14:schemeClr w14:val="tx1"/>
            </w14:solidFill>
          </w14:textFill>
        </w:rPr>
        <w:t>第三节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发展蓝图</w:t>
      </w:r>
      <w:bookmarkEnd w:id="13"/>
      <w:bookmarkEnd w:id="14"/>
      <w:bookmarkEnd w:id="15"/>
      <w:bookmarkEnd w:id="16"/>
    </w:p>
    <w:p w14:paraId="7E0447CF">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17" w:name="_Toc61280812"/>
      <w:r>
        <w:rPr>
          <w:rFonts w:hint="eastAsia" w:ascii="黑体" w:hAnsi="黑体" w:eastAsia="黑体" w:cs="黑体"/>
          <w:b w:val="0"/>
          <w:bCs w:val="0"/>
          <w:color w:val="000000" w:themeColor="text1"/>
          <w14:textFill>
            <w14:solidFill>
              <w14:schemeClr w14:val="tx1"/>
            </w14:solidFill>
          </w14:textFill>
        </w:rPr>
        <w:t>一、</w:t>
      </w:r>
      <w:bookmarkEnd w:id="17"/>
      <w:bookmarkStart w:id="18" w:name="_Toc61280813"/>
      <w:r>
        <w:rPr>
          <w:rFonts w:hint="eastAsia" w:ascii="黑体" w:hAnsi="黑体" w:eastAsia="黑体" w:cs="黑体"/>
          <w:b w:val="0"/>
          <w:bCs w:val="0"/>
          <w:color w:val="000000" w:themeColor="text1"/>
          <w14:textFill>
            <w14:solidFill>
              <w14:schemeClr w14:val="tx1"/>
            </w14:solidFill>
          </w14:textFill>
        </w:rPr>
        <w:t>指导思想</w:t>
      </w:r>
      <w:bookmarkEnd w:id="18"/>
    </w:p>
    <w:p w14:paraId="0DAD0510">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高举中国特色社会主义伟大旗帜，全面贯彻党的十九大和十九届二中、三中、四中、五中全会精神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学习贯彻</w:t>
      </w:r>
      <w:r>
        <w:rPr>
          <w:rFonts w:hint="eastAsia" w:ascii="仿宋" w:hAnsi="仿宋" w:eastAsia="仿宋" w:cs="仿宋"/>
          <w:color w:val="000000" w:themeColor="text1"/>
          <w:sz w:val="32"/>
          <w:szCs w:val="32"/>
          <w14:textFill>
            <w14:solidFill>
              <w14:schemeClr w14:val="tx1"/>
            </w14:solidFill>
          </w14:textFill>
        </w:rPr>
        <w:t>习近平总书记对内蒙古重要讲话重要指示批示精神，以马克思列宁主义、毛泽东思想、邓小平理论、“三个代表”重要思想、科学发展观、习近平新时代中国特色社会主义思想为指导，坚持以人民为中心，</w:t>
      </w:r>
      <w:r>
        <w:rPr>
          <w:rFonts w:hint="eastAsia" w:ascii="仿宋" w:hAnsi="仿宋" w:eastAsia="仿宋" w:cs="仿宋"/>
          <w:color w:val="000000" w:themeColor="text1"/>
          <w:sz w:val="32"/>
          <w:szCs w:val="32"/>
          <w:lang w:val="en-US" w:eastAsia="zh-CN"/>
          <w14:textFill>
            <w14:solidFill>
              <w14:schemeClr w14:val="tx1"/>
            </w14:solidFill>
          </w14:textFill>
        </w:rPr>
        <w:t>贯彻</w:t>
      </w:r>
      <w:r>
        <w:rPr>
          <w:rFonts w:hint="eastAsia" w:ascii="仿宋" w:hAnsi="仿宋" w:eastAsia="仿宋" w:cs="仿宋"/>
          <w:color w:val="000000" w:themeColor="text1"/>
          <w:sz w:val="32"/>
          <w:szCs w:val="32"/>
          <w14:textFill>
            <w14:solidFill>
              <w14:schemeClr w14:val="tx1"/>
            </w14:solidFill>
          </w14:textFill>
        </w:rPr>
        <w:t>新发展理念，统筹推进“五位一体”总体布局，协调推进“四个全面”发展战略，以推</w:t>
      </w:r>
      <w:r>
        <w:rPr>
          <w:rFonts w:hint="eastAsia" w:ascii="仿宋" w:hAnsi="仿宋" w:eastAsia="仿宋" w:cs="仿宋"/>
          <w:color w:val="000000" w:themeColor="text1"/>
          <w:sz w:val="32"/>
          <w:szCs w:val="32"/>
          <w:lang w:val="en-US" w:eastAsia="zh-CN"/>
          <w14:textFill>
            <w14:solidFill>
              <w14:schemeClr w14:val="tx1"/>
            </w14:solidFill>
          </w14:textFill>
        </w:rPr>
        <w:t>动</w:t>
      </w:r>
      <w:r>
        <w:rPr>
          <w:rFonts w:hint="eastAsia" w:ascii="仿宋" w:hAnsi="仿宋" w:eastAsia="仿宋" w:cs="仿宋"/>
          <w:color w:val="000000" w:themeColor="text1"/>
          <w:sz w:val="32"/>
          <w:szCs w:val="32"/>
          <w14:textFill>
            <w14:solidFill>
              <w14:schemeClr w14:val="tx1"/>
            </w14:solidFill>
          </w14:textFill>
        </w:rPr>
        <w:t>高质量发展为主题，以建设“优质高端农畜产品基地、现代农业科技示范高地、具有独特魅力的文化旅游胜地”为总目标，积极融入</w:t>
      </w:r>
      <w:r>
        <w:rPr>
          <w:rFonts w:hint="eastAsia" w:ascii="仿宋" w:hAnsi="仿宋" w:eastAsia="仿宋" w:cs="仿宋"/>
          <w:color w:val="000000" w:themeColor="text1"/>
          <w:sz w:val="32"/>
          <w:szCs w:val="32"/>
          <w:lang w:val="en-US" w:eastAsia="zh-CN"/>
          <w14:textFill>
            <w14:solidFill>
              <w14:schemeClr w14:val="tx1"/>
            </w14:solidFill>
          </w14:textFill>
        </w:rPr>
        <w:t>以</w:t>
      </w:r>
      <w:r>
        <w:rPr>
          <w:rFonts w:hint="eastAsia" w:ascii="仿宋" w:hAnsi="仿宋" w:eastAsia="仿宋" w:cs="仿宋"/>
          <w:color w:val="000000" w:themeColor="text1"/>
          <w:sz w:val="32"/>
          <w:szCs w:val="32"/>
          <w14:textFill>
            <w14:solidFill>
              <w14:schemeClr w14:val="tx1"/>
            </w14:solidFill>
          </w14:textFill>
        </w:rPr>
        <w:t>国内</w:t>
      </w:r>
      <w:r>
        <w:rPr>
          <w:rFonts w:hint="eastAsia" w:ascii="仿宋" w:hAnsi="仿宋" w:eastAsia="仿宋" w:cs="仿宋"/>
          <w:color w:val="000000" w:themeColor="text1"/>
          <w:sz w:val="32"/>
          <w:szCs w:val="32"/>
          <w:lang w:val="en-US"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循环为主体、国内国际</w:t>
      </w:r>
      <w:r>
        <w:rPr>
          <w:rFonts w:hint="eastAsia" w:ascii="仿宋" w:hAnsi="仿宋" w:eastAsia="仿宋" w:cs="仿宋"/>
          <w:color w:val="000000" w:themeColor="text1"/>
          <w:sz w:val="32"/>
          <w:szCs w:val="32"/>
          <w:lang w:val="en-US" w:eastAsia="zh-CN"/>
          <w14:textFill>
            <w14:solidFill>
              <w14:schemeClr w14:val="tx1"/>
            </w14:solidFill>
          </w14:textFill>
        </w:rPr>
        <w:t>双</w:t>
      </w:r>
      <w:r>
        <w:rPr>
          <w:rFonts w:hint="eastAsia" w:ascii="仿宋" w:hAnsi="仿宋" w:eastAsia="仿宋" w:cs="仿宋"/>
          <w:color w:val="000000" w:themeColor="text1"/>
          <w:sz w:val="32"/>
          <w:szCs w:val="32"/>
          <w14:textFill>
            <w14:solidFill>
              <w14:schemeClr w14:val="tx1"/>
            </w14:solidFill>
          </w14:textFill>
        </w:rPr>
        <w:t>循环相互促进的新发展格局，着力打造绿色产业体系、着力推进新型城镇化建设、着力探索巩固脱贫攻坚成果</w:t>
      </w:r>
      <w:r>
        <w:rPr>
          <w:rFonts w:hint="eastAsia" w:ascii="仿宋" w:hAnsi="仿宋" w:eastAsia="仿宋" w:cs="仿宋"/>
          <w:color w:val="000000" w:themeColor="text1"/>
          <w:sz w:val="32"/>
          <w:szCs w:val="32"/>
          <w:lang w:val="en-US" w:eastAsia="zh-CN"/>
          <w14:textFill>
            <w14:solidFill>
              <w14:schemeClr w14:val="tx1"/>
            </w14:solidFill>
          </w14:textFill>
        </w:rPr>
        <w:t>同</w:t>
      </w:r>
      <w:r>
        <w:rPr>
          <w:rFonts w:hint="eastAsia" w:ascii="仿宋" w:hAnsi="仿宋" w:eastAsia="仿宋" w:cs="仿宋"/>
          <w:color w:val="000000" w:themeColor="text1"/>
          <w:sz w:val="32"/>
          <w:szCs w:val="32"/>
          <w14:textFill>
            <w14:solidFill>
              <w14:schemeClr w14:val="tx1"/>
            </w14:solidFill>
          </w14:textFill>
        </w:rPr>
        <w:t>乡村振兴有效衔接的机制，着力提高公共服务质量和水平，走出一条生态美、产业兴、百姓富的发展之路，为建设美丽繁</w:t>
      </w:r>
      <w:bookmarkStart w:id="214" w:name="_GoBack"/>
      <w:bookmarkEnd w:id="214"/>
      <w:r>
        <w:rPr>
          <w:rFonts w:hint="eastAsia" w:ascii="仿宋" w:hAnsi="仿宋" w:eastAsia="仿宋" w:cs="仿宋"/>
          <w:color w:val="000000" w:themeColor="text1"/>
          <w:sz w:val="32"/>
          <w:szCs w:val="32"/>
          <w14:textFill>
            <w14:solidFill>
              <w14:schemeClr w14:val="tx1"/>
            </w14:solidFill>
          </w14:textFill>
        </w:rPr>
        <w:t>荣的扎赉特旗奠定坚实基础。</w:t>
      </w:r>
    </w:p>
    <w:p w14:paraId="2C7541A3">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19" w:name="_Toc61280814"/>
      <w:r>
        <w:rPr>
          <w:rFonts w:hint="eastAsia" w:ascii="黑体" w:hAnsi="黑体" w:eastAsia="黑体" w:cs="黑体"/>
          <w:b w:val="0"/>
          <w:bCs w:val="0"/>
          <w:color w:val="000000" w:themeColor="text1"/>
          <w:lang w:val="en-US" w:eastAsia="zh-CN"/>
          <w14:textFill>
            <w14:solidFill>
              <w14:schemeClr w14:val="tx1"/>
            </w14:solidFill>
          </w14:textFill>
        </w:rPr>
        <w:t>二</w:t>
      </w:r>
      <w:r>
        <w:rPr>
          <w:rFonts w:hint="eastAsia" w:ascii="黑体" w:hAnsi="黑体" w:eastAsia="黑体" w:cs="黑体"/>
          <w:b w:val="0"/>
          <w:bCs w:val="0"/>
          <w:color w:val="000000" w:themeColor="text1"/>
          <w14:textFill>
            <w14:solidFill>
              <w14:schemeClr w14:val="tx1"/>
            </w14:solidFill>
          </w14:textFill>
        </w:rPr>
        <w:t>、发展原则</w:t>
      </w:r>
      <w:bookmarkEnd w:id="19"/>
    </w:p>
    <w:p w14:paraId="1BD25899">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——坚持党的全面领导。</w:t>
      </w:r>
      <w:r>
        <w:rPr>
          <w:rFonts w:hint="eastAsia" w:ascii="仿宋" w:hAnsi="仿宋" w:eastAsia="仿宋" w:cs="仿宋"/>
          <w:color w:val="000000" w:themeColor="text1"/>
          <w:sz w:val="32"/>
          <w:szCs w:val="32"/>
          <w14:textFill>
            <w14:solidFill>
              <w14:schemeClr w14:val="tx1"/>
            </w14:solidFill>
          </w14:textFill>
        </w:rPr>
        <w:t>坚持和完善党领导经济社会发展的体制机制，坚持和完善中国特色社会主义制度，不断提高扎赉特旗适应新发展阶段、贯彻新发展理念、融入新发展格局的能力和水平，为高质量发展提供根本保证。</w:t>
      </w:r>
    </w:p>
    <w:p w14:paraId="051B0870">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——坚持以人民为中心。</w:t>
      </w:r>
      <w:r>
        <w:rPr>
          <w:rFonts w:hint="eastAsia" w:ascii="仿宋" w:hAnsi="仿宋" w:eastAsia="仿宋" w:cs="仿宋"/>
          <w:color w:val="000000" w:themeColor="text1"/>
          <w:sz w:val="32"/>
          <w:szCs w:val="32"/>
          <w14:textFill>
            <w14:solidFill>
              <w14:schemeClr w14:val="tx1"/>
            </w14:solidFill>
          </w14:textFill>
        </w:rPr>
        <w:t>坚持人民至上，牢记人民是推动发展的根本力量，坚持把人民群众的根本利益作为各项工作的出发点和落脚点，紧紧依靠人民，不断造福人民，集中力量做好普惠性、基础性、兜底性民生建设，用心用情用力解决群众关心的实际问题，实现好、维护好、发展好各族人民根本利益，不断增强群众获得感、幸福感和安全感，使广大人民群众更多地享受到经济社会发展的成果。</w:t>
      </w:r>
    </w:p>
    <w:p w14:paraId="78835B28">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——坚持新发展理念</w:t>
      </w:r>
      <w:r>
        <w:rPr>
          <w:rFonts w:hint="eastAsia" w:ascii="仿宋" w:hAnsi="仿宋" w:eastAsia="仿宋" w:cs="仿宋"/>
          <w:color w:val="000000" w:themeColor="text1"/>
          <w:sz w:val="32"/>
          <w:szCs w:val="32"/>
          <w14:textFill>
            <w14:solidFill>
              <w14:schemeClr w14:val="tx1"/>
            </w14:solidFill>
          </w14:textFill>
        </w:rPr>
        <w:t>。把贯彻新发展理念作为增强“四个意识”、坚定“四个自信”、做到“两个维护”的重要标尺，贯穿发展全过程和各领域，解决好各种不平衡不充分问题，主动融入新发展格局，推动向绿色发展方式转变，坚定不移走稳走实走好以生态优先、绿色发展为导向的高质量发展新路子。</w:t>
      </w:r>
    </w:p>
    <w:p w14:paraId="1D3E1B0C">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——坚持深化改革开放。</w:t>
      </w:r>
      <w:r>
        <w:rPr>
          <w:rFonts w:hint="eastAsia" w:ascii="仿宋" w:hAnsi="仿宋" w:eastAsia="仿宋" w:cs="仿宋"/>
          <w:color w:val="000000" w:themeColor="text1"/>
          <w:sz w:val="32"/>
          <w:szCs w:val="32"/>
          <w14:textFill>
            <w14:solidFill>
              <w14:schemeClr w14:val="tx1"/>
            </w14:solidFill>
          </w14:textFill>
        </w:rPr>
        <w:t>全面深化改革，正确处理市场与政府的关系，充分发挥市场在资源配置中的决定性作用，激发各类市场主体活力，调动各方面积极性，使有利于社会生产力发展的力量源泉充分涌流。牢牢把握扩大内需这个战略基点，积极融入</w:t>
      </w:r>
      <w:r>
        <w:rPr>
          <w:rFonts w:hint="eastAsia" w:ascii="仿宋" w:hAnsi="仿宋" w:eastAsia="仿宋" w:cs="仿宋"/>
          <w:color w:val="000000" w:themeColor="text1"/>
          <w:sz w:val="32"/>
          <w:szCs w:val="32"/>
          <w:lang w:val="en-US" w:eastAsia="zh-CN"/>
          <w14:textFill>
            <w14:solidFill>
              <w14:schemeClr w14:val="tx1"/>
            </w14:solidFill>
          </w14:textFill>
        </w:rPr>
        <w:t>以</w:t>
      </w:r>
      <w:r>
        <w:rPr>
          <w:rFonts w:hint="eastAsia" w:ascii="仿宋" w:hAnsi="仿宋" w:eastAsia="仿宋" w:cs="仿宋"/>
          <w:color w:val="000000" w:themeColor="text1"/>
          <w:sz w:val="32"/>
          <w:szCs w:val="32"/>
          <w14:textFill>
            <w14:solidFill>
              <w14:schemeClr w14:val="tx1"/>
            </w14:solidFill>
          </w14:textFill>
        </w:rPr>
        <w:t>国内大循环为主体、国内国际双循环相互促进的新发展格局，努力实现全方位、多层次、多元化</w:t>
      </w:r>
      <w:r>
        <w:rPr>
          <w:rFonts w:hint="eastAsia" w:ascii="仿宋" w:hAnsi="仿宋" w:eastAsia="仿宋" w:cs="仿宋"/>
          <w:color w:val="000000" w:themeColor="text1"/>
          <w:sz w:val="32"/>
          <w:szCs w:val="32"/>
          <w:lang w:val="en-US" w:eastAsia="zh-CN"/>
          <w14:textFill>
            <w14:solidFill>
              <w14:schemeClr w14:val="tx1"/>
            </w14:solidFill>
          </w14:textFill>
        </w:rPr>
        <w:t>高质量发展</w:t>
      </w:r>
      <w:r>
        <w:rPr>
          <w:rFonts w:hint="eastAsia" w:ascii="仿宋" w:hAnsi="仿宋" w:eastAsia="仿宋" w:cs="仿宋"/>
          <w:color w:val="000000" w:themeColor="text1"/>
          <w:sz w:val="32"/>
          <w:szCs w:val="32"/>
          <w14:textFill>
            <w14:solidFill>
              <w14:schemeClr w14:val="tx1"/>
            </w14:solidFill>
          </w14:textFill>
        </w:rPr>
        <w:t>。</w:t>
      </w:r>
    </w:p>
    <w:p w14:paraId="0AA2B613">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——坚持强化系统观念</w:t>
      </w:r>
      <w:r>
        <w:rPr>
          <w:rFonts w:hint="eastAsia" w:ascii="仿宋" w:hAnsi="仿宋" w:eastAsia="仿宋" w:cs="仿宋"/>
          <w:color w:val="000000" w:themeColor="text1"/>
          <w:sz w:val="32"/>
          <w:szCs w:val="32"/>
          <w14:textFill>
            <w14:solidFill>
              <w14:schemeClr w14:val="tx1"/>
            </w14:solidFill>
          </w14:textFill>
        </w:rPr>
        <w:t>。自觉服从和顾全大局，</w:t>
      </w:r>
      <w:r>
        <w:rPr>
          <w:rFonts w:hint="eastAsia" w:ascii="仿宋" w:hAnsi="仿宋" w:eastAsia="仿宋" w:cs="仿宋"/>
          <w:color w:val="000000" w:themeColor="text1"/>
          <w:sz w:val="32"/>
          <w:szCs w:val="32"/>
          <w:lang w:val="en-US" w:eastAsia="zh-CN"/>
          <w14:textFill>
            <w14:solidFill>
              <w14:schemeClr w14:val="tx1"/>
            </w14:solidFill>
          </w14:textFill>
        </w:rPr>
        <w:t>主动</w:t>
      </w:r>
      <w:r>
        <w:rPr>
          <w:rFonts w:hint="eastAsia" w:ascii="仿宋" w:hAnsi="仿宋" w:eastAsia="仿宋" w:cs="仿宋"/>
          <w:color w:val="000000" w:themeColor="text1"/>
          <w:sz w:val="32"/>
          <w:szCs w:val="32"/>
          <w14:textFill>
            <w14:solidFill>
              <w14:schemeClr w14:val="tx1"/>
            </w14:solidFill>
          </w14:textFill>
        </w:rPr>
        <w:t>服务国家战略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强化</w:t>
      </w:r>
      <w:r>
        <w:rPr>
          <w:rFonts w:hint="eastAsia" w:ascii="仿宋" w:hAnsi="仿宋" w:eastAsia="仿宋" w:cs="仿宋"/>
          <w:color w:val="000000" w:themeColor="text1"/>
          <w:sz w:val="32"/>
          <w:szCs w:val="32"/>
          <w14:textFill>
            <w14:solidFill>
              <w14:schemeClr w14:val="tx1"/>
            </w14:solidFill>
          </w14:textFill>
        </w:rPr>
        <w:t>责任担当，围绕党中央和自治区整体部署，办好发展安全两件大事，着力固根基、扬优势、补短板、强弱项，注重防范化解重大风险，实现发展质量、结构、规模、速度、效益、安全相统一。</w:t>
      </w:r>
    </w:p>
    <w:p w14:paraId="59B2D118">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20" w:name="_Toc61280815"/>
      <w:r>
        <w:rPr>
          <w:rFonts w:hint="eastAsia" w:ascii="黑体" w:hAnsi="黑体" w:eastAsia="黑体" w:cs="黑体"/>
          <w:b w:val="0"/>
          <w:bCs w:val="0"/>
          <w:color w:val="000000" w:themeColor="text1"/>
          <w:lang w:val="en-US" w:eastAsia="zh-CN"/>
          <w14:textFill>
            <w14:solidFill>
              <w14:schemeClr w14:val="tx1"/>
            </w14:solidFill>
          </w14:textFill>
        </w:rPr>
        <w:t>三</w:t>
      </w:r>
      <w:r>
        <w:rPr>
          <w:rFonts w:hint="eastAsia" w:ascii="黑体" w:hAnsi="黑体" w:eastAsia="黑体" w:cs="黑体"/>
          <w:b w:val="0"/>
          <w:bCs w:val="0"/>
          <w:color w:val="000000" w:themeColor="text1"/>
          <w14:textFill>
            <w14:solidFill>
              <w14:schemeClr w14:val="tx1"/>
            </w14:solidFill>
          </w14:textFill>
        </w:rPr>
        <w:t>、发展定位</w:t>
      </w:r>
      <w:bookmarkEnd w:id="20"/>
    </w:p>
    <w:p w14:paraId="50C0CCC4">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全国重要优质高端农畜产品基地。</w:t>
      </w:r>
      <w:r>
        <w:rPr>
          <w:rFonts w:hint="eastAsia" w:ascii="仿宋" w:hAnsi="仿宋" w:eastAsia="仿宋" w:cs="仿宋"/>
          <w:color w:val="000000" w:themeColor="text1"/>
          <w:sz w:val="32"/>
          <w:szCs w:val="32"/>
          <w14:textFill>
            <w14:solidFill>
              <w14:schemeClr w14:val="tx1"/>
            </w14:solidFill>
          </w14:textFill>
        </w:rPr>
        <w:t>坚决贯彻国家藏粮于地、藏粮于技战略，充分发挥纯天然、无污染的产地环境优势和丰富的农畜产品资源优势，坚持绿色化、高端化、智慧化、品牌化导向，优化农牧业产业结构，转变发展方式，推进玉米、水稻、道地药材、杂粮杂豆、饲草产业带建设，打造肉羊、肉牛、生猪、肉禽规模化养殖基地，延长产业链，提高精深加工水平，推进农畜产品品牌化体系、标准化体系、可追溯体系、数字化体系建设，推动扎赉特旗优质农牧产品走向高端、走向品牌，走向全国、走向世界。</w:t>
      </w:r>
    </w:p>
    <w:p w14:paraId="79FD8C46">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全国乡村振兴示范旗。</w:t>
      </w:r>
      <w:r>
        <w:rPr>
          <w:rFonts w:hint="eastAsia" w:ascii="仿宋" w:hAnsi="仿宋" w:eastAsia="仿宋" w:cs="仿宋"/>
          <w:color w:val="000000" w:themeColor="text1"/>
          <w:sz w:val="32"/>
          <w:szCs w:val="32"/>
          <w14:textFill>
            <w14:solidFill>
              <w14:schemeClr w14:val="tx1"/>
            </w14:solidFill>
          </w14:textFill>
        </w:rPr>
        <w:t>坚持农业农村优先发展方针，按照产业兴旺、生态宜居、乡风文明、治理有效、生活富裕的总要求，稳步推进乡村振兴示范</w:t>
      </w:r>
      <w:r>
        <w:rPr>
          <w:rFonts w:hint="eastAsia" w:ascii="仿宋" w:hAnsi="仿宋" w:eastAsia="仿宋" w:cs="仿宋"/>
          <w:color w:val="000000" w:themeColor="text1"/>
          <w:sz w:val="32"/>
          <w:szCs w:val="32"/>
          <w:lang w:val="en-US"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建设。推动“</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园”先行、“八镇”联动、“多点”并进，</w:t>
      </w:r>
      <w:r>
        <w:rPr>
          <w:rFonts w:hint="eastAsia" w:ascii="仿宋" w:hAnsi="仿宋" w:eastAsia="仿宋" w:cs="仿宋"/>
          <w:color w:val="000000" w:themeColor="text1"/>
          <w:sz w:val="32"/>
          <w:szCs w:val="32"/>
          <w:lang w:val="en-US" w:eastAsia="zh-CN"/>
          <w14:textFill>
            <w14:solidFill>
              <w14:schemeClr w14:val="tx1"/>
            </w14:solidFill>
          </w14:textFill>
        </w:rPr>
        <w:t>加快推动城乡融合发展。</w:t>
      </w:r>
      <w:r>
        <w:rPr>
          <w:rFonts w:hint="eastAsia" w:ascii="仿宋" w:hAnsi="仿宋" w:eastAsia="仿宋" w:cs="仿宋"/>
          <w:color w:val="000000" w:themeColor="text1"/>
          <w:sz w:val="32"/>
          <w:szCs w:val="32"/>
          <w14:textFill>
            <w14:solidFill>
              <w14:schemeClr w14:val="tx1"/>
            </w14:solidFill>
          </w14:textFill>
        </w:rPr>
        <w:t>培育优势特色产业，构建现代化、高效化农牧产业体系，实施“头雁”、“归雁”、“引雁”工程，加强学习，强化管理，全力打造新时代“三农”铁军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以示范嘎查村建设为重点，建设完善村屯环境清洁</w:t>
      </w:r>
      <w:r>
        <w:rPr>
          <w:rFonts w:hint="eastAsia" w:ascii="仿宋" w:hAnsi="仿宋" w:eastAsia="仿宋" w:cs="仿宋"/>
          <w:color w:val="000000" w:themeColor="text1"/>
          <w:sz w:val="32"/>
          <w:szCs w:val="32"/>
          <w:lang w:val="en-US" w:eastAsia="zh-CN"/>
          <w14:textFill>
            <w14:solidFill>
              <w14:schemeClr w14:val="tx1"/>
            </w14:solidFill>
          </w14:textFill>
        </w:rPr>
        <w:t>管护</w:t>
      </w:r>
      <w:r>
        <w:rPr>
          <w:rFonts w:hint="eastAsia" w:ascii="仿宋" w:hAnsi="仿宋" w:eastAsia="仿宋" w:cs="仿宋"/>
          <w:color w:val="000000" w:themeColor="text1"/>
          <w:sz w:val="32"/>
          <w:szCs w:val="32"/>
          <w14:textFill>
            <w14:solidFill>
              <w14:schemeClr w14:val="tx1"/>
            </w14:solidFill>
          </w14:textFill>
        </w:rPr>
        <w:t>长效机制，不断提升美丽乡村人居环境，加强巩固脱贫攻坚成果与乡村振兴有机衔接，拓宽增收渠道，全力推进强村富民，全力建设“农牧业全面升级、农村牧区全面进步、农牧民全面发展”的</w:t>
      </w:r>
      <w:r>
        <w:rPr>
          <w:rFonts w:hint="eastAsia" w:ascii="仿宋" w:hAnsi="仿宋" w:eastAsia="仿宋" w:cs="仿宋"/>
          <w:color w:val="000000" w:themeColor="text1"/>
          <w:sz w:val="32"/>
          <w:szCs w:val="32"/>
          <w:lang w:val="en-US" w:eastAsia="zh-CN"/>
          <w14:textFill>
            <w14:solidFill>
              <w14:schemeClr w14:val="tx1"/>
            </w14:solidFill>
          </w14:textFill>
        </w:rPr>
        <w:t>乡村振兴扎赉特模式</w:t>
      </w:r>
      <w:r>
        <w:rPr>
          <w:rFonts w:hint="eastAsia" w:ascii="仿宋" w:hAnsi="仿宋" w:eastAsia="仿宋" w:cs="仿宋"/>
          <w:color w:val="000000" w:themeColor="text1"/>
          <w:sz w:val="32"/>
          <w:szCs w:val="32"/>
          <w14:textFill>
            <w14:solidFill>
              <w14:schemeClr w14:val="tx1"/>
            </w14:solidFill>
          </w14:textFill>
        </w:rPr>
        <w:t>。</w:t>
      </w:r>
    </w:p>
    <w:p w14:paraId="2CFD5750">
      <w:pPr>
        <w:pStyle w:val="12"/>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b/>
          <w:bCs/>
          <w:color w:val="000000" w:themeColor="text1"/>
          <w:sz w:val="32"/>
          <w14:textFill>
            <w14:solidFill>
              <w14:schemeClr w14:val="tx1"/>
            </w14:solidFill>
          </w14:textFill>
        </w:rPr>
        <w:t>铸牢中华民族共同体意识模范旗。</w:t>
      </w:r>
      <w:r>
        <w:rPr>
          <w:rFonts w:hint="eastAsia" w:ascii="仿宋" w:hAnsi="仿宋" w:eastAsia="仿宋" w:cs="仿宋"/>
          <w:color w:val="000000" w:themeColor="text1"/>
          <w:sz w:val="32"/>
          <w14:textFill>
            <w14:solidFill>
              <w14:schemeClr w14:val="tx1"/>
            </w14:solidFill>
          </w14:textFill>
        </w:rPr>
        <w:t>坚持以铸牢中华民族共同体意识为根本方向，深入推进“一十百千”工程，扎实开展民族团结进步宣传教育和创建活动，构建各民族共有精神家园，推进蒙汉双语服务工作，加强各民族交往交流交融，促进各民族共居共学共事共乐，进一步巩固提升全国民族团结进步示范旗成果，推动民族团结进步事业不断实现创新发展，使各民族人心归聚、精神相依，像石榴籽一样紧紧抱在一起。</w:t>
      </w:r>
    </w:p>
    <w:p w14:paraId="41570CF8">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全国生态文明建设示范旗。</w:t>
      </w:r>
      <w:r>
        <w:rPr>
          <w:rFonts w:hint="eastAsia" w:ascii="仿宋" w:hAnsi="仿宋" w:eastAsia="仿宋" w:cs="仿宋"/>
          <w:color w:val="000000" w:themeColor="text1"/>
          <w:sz w:val="32"/>
          <w:szCs w:val="32"/>
          <w14:textFill>
            <w14:solidFill>
              <w14:schemeClr w14:val="tx1"/>
            </w14:solidFill>
          </w14:textFill>
        </w:rPr>
        <w:t>牢牢把握生态优先、绿色发展主基调，对标对表国家生态文明建设示范市县指标体系，优化国土空间开发格局，统筹山水林田湖草系统治理，实施好重点生态工程，突出抓好污染源头治理，持续强化生态涵养功能，全面推进资源节约，持之以恒、久久为功，在探索实践“绿水青山”转化“金山银山”路径上取得重大突破，推动形成生态优势转化为经济优势的长效机制，为自治区乃至全国其他地区推进生态文明建设树立标杆样板。</w:t>
      </w:r>
    </w:p>
    <w:p w14:paraId="067A9B5B">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全国县域社会治理现代化示范旗。</w:t>
      </w:r>
      <w:r>
        <w:rPr>
          <w:rFonts w:hint="eastAsia" w:ascii="仿宋" w:hAnsi="仿宋" w:eastAsia="仿宋" w:cs="仿宋"/>
          <w:color w:val="000000" w:themeColor="text1"/>
          <w:sz w:val="32"/>
          <w:szCs w:val="32"/>
          <w14:textFill>
            <w14:solidFill>
              <w14:schemeClr w14:val="tx1"/>
            </w14:solidFill>
          </w14:textFill>
        </w:rPr>
        <w:t>坚持“两个中心”理念，推进资源整合、机制创新、流程再造、服务集成，推行一站式接待、一揽子调处、一条龙服务，提高社会治理水平。深入开展平安创建，加强“雪亮工程”建设和应用，完善网格化管理，探索基层社会治理“三治融合”模式，巩固提升“全国平安建设先进县”创建成果。紧盯重点行业、重点领域，探索综合治理、长效常治的</w:t>
      </w:r>
      <w:r>
        <w:rPr>
          <w:rFonts w:hint="eastAsia" w:ascii="仿宋" w:hAnsi="仿宋" w:eastAsia="仿宋" w:cs="仿宋"/>
          <w:color w:val="000000" w:themeColor="text1"/>
          <w:sz w:val="32"/>
          <w:szCs w:val="32"/>
          <w:lang w:val="en-US" w:eastAsia="zh-CN"/>
          <w14:textFill>
            <w14:solidFill>
              <w14:schemeClr w14:val="tx1"/>
            </w14:solidFill>
          </w14:textFill>
        </w:rPr>
        <w:t>体制</w:t>
      </w:r>
      <w:r>
        <w:rPr>
          <w:rFonts w:hint="eastAsia" w:ascii="仿宋" w:hAnsi="仿宋" w:eastAsia="仿宋" w:cs="仿宋"/>
          <w:color w:val="000000" w:themeColor="text1"/>
          <w:sz w:val="32"/>
          <w:szCs w:val="32"/>
          <w14:textFill>
            <w14:solidFill>
              <w14:schemeClr w14:val="tx1"/>
            </w14:solidFill>
          </w14:textFill>
        </w:rPr>
        <w:t>机制。坚持和发展新时代“枫桥经验”，不断提高社会治理的社会化、法治化、智能化、专业化水平，打造县域社会治理现代化示范样板。</w:t>
      </w:r>
    </w:p>
    <w:p w14:paraId="489285FC">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lang w:val="en-US" w:eastAsia="zh-CN"/>
          <w14:textFill>
            <w14:solidFill>
              <w14:schemeClr w14:val="tx1"/>
            </w14:solidFill>
          </w14:textFill>
        </w:rPr>
      </w:pPr>
      <w:bookmarkStart w:id="21" w:name="_Toc61280816"/>
      <w:r>
        <w:rPr>
          <w:rFonts w:hint="eastAsia" w:ascii="黑体" w:hAnsi="黑体" w:eastAsia="黑体" w:cs="黑体"/>
          <w:b w:val="0"/>
          <w:bCs w:val="0"/>
          <w:color w:val="000000" w:themeColor="text1"/>
          <w:lang w:val="en-US" w:eastAsia="zh-CN"/>
          <w14:textFill>
            <w14:solidFill>
              <w14:schemeClr w14:val="tx1"/>
            </w14:solidFill>
          </w14:textFill>
        </w:rPr>
        <w:t>四、二〇三五年远景目标</w:t>
      </w:r>
    </w:p>
    <w:p w14:paraId="363244EB">
      <w:pPr>
        <w:pageBreakBefore w:val="0"/>
        <w:kinsoku/>
        <w:wordWrap/>
        <w:overflowPunct/>
        <w:topLinePunct w:val="0"/>
        <w:autoSpaceDE/>
        <w:autoSpaceDN/>
        <w:bidi w:val="0"/>
        <w:adjustRightInd/>
        <w:snapToGrid/>
        <w:spacing w:line="600" w:lineRule="exact"/>
        <w:ind w:firstLine="480" w:firstLineChars="200"/>
        <w:jc w:val="both"/>
        <w:textAlignment w:val="auto"/>
        <w:rPr>
          <w:rFonts w:hint="eastAsia" w:ascii="黑体" w:hAnsi="黑体" w:eastAsia="黑体" w:cs="黑体"/>
          <w:b w:val="0"/>
          <w:bCs w:val="0"/>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按照党中央对实现第二个百年奋斗目标的战略安排和基本实现社会主义现代化的远景目标，到二〇三五年将与全国全区一道基本实现社会主义现代化，全面建成“具有全国影响力的优质高端农畜产品基地、现代农业科技示范高地、具有独特魅力的文化旅游胜地”。</w:t>
      </w:r>
      <w:r>
        <w:rPr>
          <w:rFonts w:hint="eastAsia" w:ascii="仿宋" w:hAnsi="仿宋" w:eastAsia="仿宋" w:cs="仿宋"/>
          <w:b/>
          <w:color w:val="000000" w:themeColor="text1"/>
          <w:sz w:val="32"/>
          <w:szCs w:val="32"/>
          <w14:textFill>
            <w14:solidFill>
              <w14:schemeClr w14:val="tx1"/>
            </w14:solidFill>
          </w14:textFill>
        </w:rPr>
        <w:t>经济实力大幅跃升，</w:t>
      </w:r>
      <w:r>
        <w:rPr>
          <w:rFonts w:hint="eastAsia" w:ascii="仿宋" w:hAnsi="仿宋" w:eastAsia="仿宋" w:cs="仿宋"/>
          <w:color w:val="000000" w:themeColor="text1"/>
          <w:sz w:val="32"/>
          <w:szCs w:val="32"/>
          <w14:textFill>
            <w14:solidFill>
              <w14:schemeClr w14:val="tx1"/>
            </w14:solidFill>
          </w14:textFill>
        </w:rPr>
        <w:t>经济总量和城乡居民收入迈上新台阶，发展综合实力、产业竞争力显著提升，扎赉特品牌美誉度在全国彰显，新型工业化、信息化、城镇化、农业现代化基本实现。</w:t>
      </w:r>
      <w:r>
        <w:rPr>
          <w:rFonts w:hint="eastAsia" w:ascii="仿宋" w:hAnsi="仿宋" w:eastAsia="仿宋" w:cs="仿宋"/>
          <w:b/>
          <w:color w:val="000000" w:themeColor="text1"/>
          <w:sz w:val="32"/>
          <w:szCs w:val="32"/>
          <w14:textFill>
            <w14:solidFill>
              <w14:schemeClr w14:val="tx1"/>
            </w14:solidFill>
          </w14:textFill>
        </w:rPr>
        <w:t>人与自然和谐发展，</w:t>
      </w:r>
      <w:r>
        <w:rPr>
          <w:rFonts w:hint="eastAsia" w:ascii="仿宋" w:hAnsi="仿宋" w:eastAsia="仿宋" w:cs="仿宋"/>
          <w:color w:val="000000" w:themeColor="text1"/>
          <w:sz w:val="32"/>
          <w:szCs w:val="32"/>
          <w14:textFill>
            <w14:solidFill>
              <w14:schemeClr w14:val="tx1"/>
            </w14:solidFill>
          </w14:textFill>
        </w:rPr>
        <w:t>生态优先、绿色发展导向更加突显，绿色生产生活方式广泛形成，在建设我国北方重要生态安全屏障中做出突出贡献，全面书写“绿水青山就是金山银山”的“</w:t>
      </w:r>
      <w:r>
        <w:rPr>
          <w:rFonts w:hint="eastAsia" w:ascii="仿宋" w:hAnsi="仿宋" w:eastAsia="仿宋" w:cs="仿宋"/>
          <w:color w:val="000000" w:themeColor="text1"/>
          <w:sz w:val="32"/>
          <w:szCs w:val="32"/>
          <w:lang w:val="en-US" w:eastAsia="zh-CN"/>
          <w14:textFill>
            <w14:solidFill>
              <w14:schemeClr w14:val="tx1"/>
            </w14:solidFill>
          </w14:textFill>
        </w:rPr>
        <w:t>扎赉特</w:t>
      </w:r>
      <w:r>
        <w:rPr>
          <w:rFonts w:hint="eastAsia" w:ascii="仿宋" w:hAnsi="仿宋" w:eastAsia="仿宋" w:cs="仿宋"/>
          <w:color w:val="000000" w:themeColor="text1"/>
          <w:sz w:val="32"/>
          <w:szCs w:val="32"/>
          <w14:textFill>
            <w14:solidFill>
              <w14:schemeClr w14:val="tx1"/>
            </w14:solidFill>
          </w14:textFill>
        </w:rPr>
        <w:t>篇”。</w:t>
      </w:r>
      <w:r>
        <w:rPr>
          <w:rFonts w:hint="eastAsia" w:ascii="仿宋" w:hAnsi="仿宋" w:eastAsia="仿宋" w:cs="仿宋"/>
          <w:b/>
          <w:color w:val="000000" w:themeColor="text1"/>
          <w:sz w:val="32"/>
          <w:szCs w:val="32"/>
          <w14:textFill>
            <w14:solidFill>
              <w14:schemeClr w14:val="tx1"/>
            </w14:solidFill>
          </w14:textFill>
        </w:rPr>
        <w:t>中华民族共同体意识更加巩固，</w:t>
      </w:r>
      <w:r>
        <w:rPr>
          <w:rFonts w:hint="eastAsia" w:ascii="仿宋" w:hAnsi="仿宋" w:eastAsia="仿宋" w:cs="仿宋"/>
          <w:color w:val="000000" w:themeColor="text1"/>
          <w:sz w:val="32"/>
          <w:szCs w:val="32"/>
          <w14:textFill>
            <w14:solidFill>
              <w14:schemeClr w14:val="tx1"/>
            </w14:solidFill>
          </w14:textFill>
        </w:rPr>
        <w:t>社会主义核心价值观深入人心，民族团结进步成果更加丰硕，民族关系更加和谐，宗教关系更加和顺，各族人民守望相助一家亲，在呵护“模范自治区”的崇高荣誉中尽职尽责。</w:t>
      </w:r>
      <w:r>
        <w:rPr>
          <w:rFonts w:hint="eastAsia" w:ascii="仿宋" w:hAnsi="仿宋" w:eastAsia="仿宋" w:cs="仿宋"/>
          <w:b/>
          <w:bCs/>
          <w:color w:val="000000" w:themeColor="text1"/>
          <w:sz w:val="32"/>
          <w:szCs w:val="32"/>
          <w14:textFill>
            <w14:solidFill>
              <w14:schemeClr w14:val="tx1"/>
            </w14:solidFill>
          </w14:textFill>
        </w:rPr>
        <w:t>人民生活更加幸福，</w:t>
      </w:r>
      <w:r>
        <w:rPr>
          <w:rFonts w:hint="eastAsia" w:ascii="仿宋" w:hAnsi="仿宋" w:eastAsia="仿宋" w:cs="仿宋"/>
          <w:color w:val="000000" w:themeColor="text1"/>
          <w:sz w:val="32"/>
          <w:szCs w:val="32"/>
          <w14:textFill>
            <w14:solidFill>
              <w14:schemeClr w14:val="tx1"/>
            </w14:solidFill>
          </w14:textFill>
        </w:rPr>
        <w:t>城镇品质显著提升，法治政府、法治社会基本建成，基层治理体系和治理能力现代化基本实现；中等收入群体显著扩大，城乡居民生活水平差距显著缩小；区域文化软实力显著增强，</w:t>
      </w:r>
      <w:r>
        <w:rPr>
          <w:rFonts w:hint="eastAsia" w:ascii="仿宋" w:hAnsi="仿宋" w:eastAsia="仿宋" w:cs="仿宋"/>
          <w:color w:val="000000" w:themeColor="text1"/>
          <w:sz w:val="32"/>
          <w:szCs w:val="32"/>
          <w:lang w:val="en-US" w:eastAsia="zh-CN"/>
          <w14:textFill>
            <w14:solidFill>
              <w14:schemeClr w14:val="tx1"/>
            </w14:solidFill>
          </w14:textFill>
        </w:rPr>
        <w:t>基本实现</w:t>
      </w:r>
      <w:r>
        <w:rPr>
          <w:rFonts w:hint="eastAsia" w:ascii="仿宋" w:hAnsi="仿宋" w:eastAsia="仿宋" w:cs="仿宋"/>
          <w:color w:val="000000" w:themeColor="text1"/>
          <w:sz w:val="32"/>
          <w:szCs w:val="32"/>
          <w14:textFill>
            <w14:solidFill>
              <w14:schemeClr w14:val="tx1"/>
            </w14:solidFill>
          </w14:textFill>
        </w:rPr>
        <w:t>幼有所育、学有所教、劳有所得、病有所医、老有所养、住有所居、弱有所扶，在促进人的全面发展、实现共同富裕上取得更为明显的实质性进展。</w:t>
      </w:r>
    </w:p>
    <w:p w14:paraId="1FA619EE">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五、</w:t>
      </w:r>
      <w:bookmarkEnd w:id="21"/>
      <w:r>
        <w:rPr>
          <w:rFonts w:hint="eastAsia" w:ascii="黑体" w:hAnsi="黑体" w:eastAsia="黑体" w:cs="黑体"/>
          <w:b w:val="0"/>
          <w:bCs w:val="0"/>
          <w:color w:val="000000" w:themeColor="text1"/>
          <w:lang w:val="en-US" w:eastAsia="zh-CN"/>
          <w14:textFill>
            <w14:solidFill>
              <w14:schemeClr w14:val="tx1"/>
            </w14:solidFill>
          </w14:textFill>
        </w:rPr>
        <w:t>“十四五”时期经济社会发展主要目标</w:t>
      </w:r>
    </w:p>
    <w:p w14:paraId="48049F2E">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五年努力奋斗，到2025年，全旗生态文明建设持续推进，绿色现代产业体系基本建成，城乡基础设施承载能力明显提高，城镇化水平大幅提升，社会保障能力显著增强，改革创新与社会治理取得新突破。“十四五”时期，扎赉特旗经济社会发展主要目标是：</w:t>
      </w:r>
    </w:p>
    <w:p w14:paraId="2F5313BA">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经济实力迈上新台阶。</w:t>
      </w:r>
      <w:r>
        <w:rPr>
          <w:rFonts w:hint="eastAsia" w:ascii="仿宋" w:hAnsi="仿宋" w:eastAsia="仿宋" w:cs="仿宋"/>
          <w:color w:val="000000" w:themeColor="text1"/>
          <w:sz w:val="32"/>
          <w:szCs w:val="32"/>
          <w14:textFill>
            <w14:solidFill>
              <w14:schemeClr w14:val="tx1"/>
            </w14:solidFill>
          </w14:textFill>
        </w:rPr>
        <w:t>在质量效益明显提升的基础上实现经济持续健康发展，</w:t>
      </w:r>
      <w:r>
        <w:rPr>
          <w:rFonts w:hint="eastAsia" w:ascii="仿宋" w:hAnsi="仿宋" w:eastAsia="仿宋" w:cs="仿宋"/>
          <w:color w:val="000000" w:themeColor="text1"/>
          <w:sz w:val="32"/>
          <w:szCs w:val="32"/>
          <w:lang w:val="en-US" w:eastAsia="zh-CN"/>
          <w14:textFill>
            <w14:solidFill>
              <w14:schemeClr w14:val="tx1"/>
            </w14:solidFill>
          </w14:textFill>
        </w:rPr>
        <w:t>GDP</w:t>
      </w:r>
      <w:r>
        <w:rPr>
          <w:rFonts w:hint="eastAsia" w:ascii="仿宋" w:hAnsi="仿宋" w:eastAsia="仿宋" w:cs="仿宋"/>
          <w:color w:val="000000" w:themeColor="text1"/>
          <w:sz w:val="32"/>
          <w:szCs w:val="32"/>
          <w14:textFill>
            <w14:solidFill>
              <w14:schemeClr w14:val="tx1"/>
            </w14:solidFill>
          </w14:textFill>
        </w:rPr>
        <w:t>年均增速预期7%。“三园”引领的产业格局基本形成，创新能力显著提升，创新资源向水稻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道地药材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多羔羊、生猪、肉牛等主导产业集聚。三次产业结构比例更趋合理，一产不优、二产不大、三产不强局面得到根本性扭转，一二三产业实现深度融合，产业基础高级化、产业链现代化特征突显，现代化经济体系建设取得重大进展。</w:t>
      </w:r>
    </w:p>
    <w:p w14:paraId="5C5E324E">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城乡建设开创新局面。</w:t>
      </w:r>
      <w:r>
        <w:rPr>
          <w:rFonts w:hint="eastAsia" w:ascii="仿宋" w:hAnsi="仿宋" w:eastAsia="仿宋" w:cs="仿宋"/>
          <w:color w:val="000000" w:themeColor="text1"/>
          <w:sz w:val="32"/>
          <w:szCs w:val="32"/>
          <w14:textFill>
            <w14:solidFill>
              <w14:schemeClr w14:val="tx1"/>
            </w14:solidFill>
          </w14:textFill>
        </w:rPr>
        <w:t>以人为核心的城镇化加快建设，城乡空间布局不断优化，土地开发有序、功能布局合理、人口规模适度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城乡互补协调发展的新型城乡关系基本形成。现代化综合交通运输网络逐渐完善，水利、能源和信息基础设施建设持续推进，基础设施承载能力和运行效率提升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城乡融合加快发展，</w:t>
      </w:r>
      <w:r>
        <w:rPr>
          <w:rFonts w:hint="eastAsia" w:ascii="仿宋" w:hAnsi="仿宋" w:eastAsia="仿宋" w:cs="仿宋"/>
          <w:color w:val="000000" w:themeColor="text1"/>
          <w:sz w:val="32"/>
          <w:szCs w:val="32"/>
          <w14:textFill>
            <w14:solidFill>
              <w14:schemeClr w14:val="tx1"/>
            </w14:solidFill>
          </w14:textFill>
        </w:rPr>
        <w:t>音德尔镇</w:t>
      </w:r>
      <w:r>
        <w:rPr>
          <w:rFonts w:hint="eastAsia" w:eastAsia="仿宋_GB2312" w:cs="Times New Roman"/>
          <w:sz w:val="32"/>
          <w:szCs w:val="32"/>
        </w:rPr>
        <w:t>综合承载能力全面</w:t>
      </w:r>
      <w:r>
        <w:rPr>
          <w:rFonts w:hint="eastAsia" w:eastAsia="仿宋_GB2312" w:cs="Times New Roman"/>
          <w:sz w:val="32"/>
          <w:szCs w:val="32"/>
          <w:lang w:val="en-US" w:eastAsia="zh-CN"/>
        </w:rPr>
        <w:t>增强</w:t>
      </w:r>
      <w:r>
        <w:rPr>
          <w:rFonts w:hint="eastAsia" w:ascii="仿宋" w:hAnsi="仿宋" w:eastAsia="仿宋" w:cs="仿宋"/>
          <w:color w:val="000000" w:themeColor="text1"/>
          <w:sz w:val="32"/>
          <w:szCs w:val="32"/>
          <w:lang w:val="en-US" w:eastAsia="zh-CN"/>
          <w14:textFill>
            <w14:solidFill>
              <w14:schemeClr w14:val="tx1"/>
            </w14:solidFill>
          </w14:textFill>
        </w:rPr>
        <w:t>，苏木乡镇特色化发展格局基本形成，农村牧区更加宜居宜业。</w:t>
      </w:r>
    </w:p>
    <w:p w14:paraId="15897E03">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生态文明建设取得新突破。</w:t>
      </w:r>
      <w:r>
        <w:rPr>
          <w:rFonts w:hint="eastAsia" w:ascii="仿宋" w:hAnsi="仿宋" w:eastAsia="仿宋" w:cs="仿宋"/>
          <w:color w:val="000000" w:themeColor="text1"/>
          <w:sz w:val="32"/>
          <w:szCs w:val="32"/>
          <w14:textFill>
            <w14:solidFill>
              <w14:schemeClr w14:val="tx1"/>
            </w14:solidFill>
          </w14:textFill>
        </w:rPr>
        <w:t>国土空间开发保护格局</w:t>
      </w:r>
      <w:r>
        <w:rPr>
          <w:rFonts w:hint="eastAsia" w:ascii="仿宋" w:hAnsi="仿宋" w:eastAsia="仿宋" w:cs="仿宋"/>
          <w:color w:val="000000" w:themeColor="text1"/>
          <w:sz w:val="32"/>
          <w:szCs w:val="32"/>
          <w:lang w:val="en-US" w:eastAsia="zh-CN"/>
          <w14:textFill>
            <w14:solidFill>
              <w14:schemeClr w14:val="tx1"/>
            </w14:solidFill>
          </w14:textFill>
        </w:rPr>
        <w:t>持续</w:t>
      </w:r>
      <w:r>
        <w:rPr>
          <w:rFonts w:hint="eastAsia" w:ascii="仿宋" w:hAnsi="仿宋" w:eastAsia="仿宋" w:cs="仿宋"/>
          <w:color w:val="000000" w:themeColor="text1"/>
          <w:sz w:val="32"/>
          <w:szCs w:val="32"/>
          <w14:textFill>
            <w14:solidFill>
              <w14:schemeClr w14:val="tx1"/>
            </w14:solidFill>
          </w14:textFill>
        </w:rPr>
        <w:t>优化，“北牧南农+全域旅游”的格局初步形成，绿色发展和绿色生活水平</w:t>
      </w:r>
      <w:r>
        <w:rPr>
          <w:rFonts w:hint="eastAsia" w:ascii="仿宋" w:hAnsi="仿宋" w:eastAsia="仿宋" w:cs="仿宋"/>
          <w:color w:val="000000" w:themeColor="text1"/>
          <w:sz w:val="32"/>
          <w:szCs w:val="32"/>
          <w:lang w:val="en-US" w:eastAsia="zh-CN"/>
          <w14:textFill>
            <w14:solidFill>
              <w14:schemeClr w14:val="tx1"/>
            </w14:solidFill>
          </w14:textFill>
        </w:rPr>
        <w:t>进一步</w:t>
      </w:r>
      <w:r>
        <w:rPr>
          <w:rFonts w:hint="eastAsia" w:ascii="仿宋" w:hAnsi="仿宋" w:eastAsia="仿宋" w:cs="仿宋"/>
          <w:color w:val="000000" w:themeColor="text1"/>
          <w:sz w:val="32"/>
          <w:szCs w:val="32"/>
          <w14:textFill>
            <w14:solidFill>
              <w14:schemeClr w14:val="tx1"/>
            </w14:solidFill>
          </w14:textFill>
        </w:rPr>
        <w:t>提升，全旗生态环境质量持续改善，</w:t>
      </w:r>
      <w:r>
        <w:rPr>
          <w:rFonts w:hint="eastAsia" w:ascii="仿宋" w:hAnsi="仿宋" w:eastAsia="仿宋" w:cs="仿宋"/>
          <w:color w:val="000000" w:themeColor="text1"/>
          <w:spacing w:val="10"/>
          <w:kern w:val="0"/>
          <w:sz w:val="32"/>
          <w:szCs w:val="32"/>
          <w14:textFill>
            <w14:solidFill>
              <w14:schemeClr w14:val="tx1"/>
            </w14:solidFill>
          </w14:textFill>
        </w:rPr>
        <w:t>森林覆盖率增加2.</w:t>
      </w:r>
      <w:r>
        <w:rPr>
          <w:rFonts w:hint="eastAsia" w:ascii="仿宋" w:hAnsi="仿宋" w:eastAsia="仿宋" w:cs="仿宋"/>
          <w:color w:val="000000" w:themeColor="text1"/>
          <w:spacing w:val="10"/>
          <w:kern w:val="0"/>
          <w:sz w:val="32"/>
          <w:szCs w:val="32"/>
          <w:lang w:val="en-US" w:eastAsia="zh-CN"/>
          <w14:textFill>
            <w14:solidFill>
              <w14:schemeClr w14:val="tx1"/>
            </w14:solidFill>
          </w14:textFill>
        </w:rPr>
        <w:t>1</w:t>
      </w:r>
      <w:r>
        <w:rPr>
          <w:rFonts w:hint="eastAsia" w:ascii="仿宋" w:hAnsi="仿宋" w:eastAsia="仿宋" w:cs="仿宋"/>
          <w:color w:val="000000" w:themeColor="text1"/>
          <w:spacing w:val="10"/>
          <w:kern w:val="0"/>
          <w:sz w:val="32"/>
          <w:szCs w:val="32"/>
          <w14:textFill>
            <w14:solidFill>
              <w14:schemeClr w14:val="tx1"/>
            </w14:solidFill>
          </w14:textFill>
        </w:rPr>
        <w:t>个百分点。实施草原生态建设工程，植被覆盖度明显提高。</w:t>
      </w:r>
      <w:r>
        <w:rPr>
          <w:rFonts w:hint="eastAsia" w:ascii="仿宋" w:hAnsi="仿宋" w:eastAsia="仿宋" w:cs="仿宋"/>
          <w:color w:val="000000" w:themeColor="text1"/>
          <w:sz w:val="32"/>
          <w:szCs w:val="32"/>
          <w14:textFill>
            <w14:solidFill>
              <w14:schemeClr w14:val="tx1"/>
            </w14:solidFill>
          </w14:textFill>
        </w:rPr>
        <w:t>空气质量稳步提升，水环境质量持续向好，生态红线区域得到切实保护，农业面源污染得到有效管控，农村人居环境综合整治</w:t>
      </w:r>
      <w:r>
        <w:rPr>
          <w:rFonts w:hint="eastAsia" w:ascii="仿宋" w:hAnsi="仿宋" w:eastAsia="仿宋" w:cs="仿宋"/>
          <w:color w:val="000000" w:themeColor="text1"/>
          <w:sz w:val="32"/>
          <w:szCs w:val="32"/>
          <w:lang w:val="en-US" w:eastAsia="zh-CN"/>
          <w14:textFill>
            <w14:solidFill>
              <w14:schemeClr w14:val="tx1"/>
            </w14:solidFill>
          </w14:textFill>
        </w:rPr>
        <w:t>成效显著</w:t>
      </w:r>
      <w:r>
        <w:rPr>
          <w:rFonts w:hint="eastAsia" w:ascii="仿宋" w:hAnsi="仿宋" w:eastAsia="仿宋" w:cs="仿宋"/>
          <w:color w:val="000000" w:themeColor="text1"/>
          <w:sz w:val="32"/>
          <w:szCs w:val="32"/>
          <w14:textFill>
            <w14:solidFill>
              <w14:schemeClr w14:val="tx1"/>
            </w14:solidFill>
          </w14:textFill>
        </w:rPr>
        <w:t>，能源资源配置更加合理、利用效率大幅提高，生态文明体制改革全面落实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美丽扎赉特建设取得明显成效。</w:t>
      </w:r>
    </w:p>
    <w:p w14:paraId="6E955EC7">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民生福祉实现更大改善。</w:t>
      </w:r>
      <w:r>
        <w:rPr>
          <w:rFonts w:hint="eastAsia" w:ascii="仿宋" w:hAnsi="仿宋" w:eastAsia="仿宋" w:cs="仿宋"/>
          <w:color w:val="000000" w:themeColor="text1"/>
          <w:sz w:val="32"/>
          <w:szCs w:val="32"/>
          <w14:textFill>
            <w14:solidFill>
              <w14:schemeClr w14:val="tx1"/>
            </w14:solidFill>
          </w14:textFill>
        </w:rPr>
        <w:t>居民收入增长和经济增长基本同步，城乡居民收入年均增长预期分别</w:t>
      </w:r>
      <w:r>
        <w:rPr>
          <w:rFonts w:hint="eastAsia" w:ascii="仿宋" w:hAnsi="仿宋" w:eastAsia="仿宋" w:cs="仿宋"/>
          <w:color w:val="000000" w:themeColor="text1"/>
          <w:sz w:val="32"/>
          <w:szCs w:val="32"/>
          <w:lang w:val="en-US" w:eastAsia="zh-CN"/>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7%和9%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分配结构明显改善。脱贫攻坚成果巩固与乡村振兴战略有效衔接，健全教育文化、医疗卫生、家政服务、就业社保、社会救助、优抚安置、法律服务等综合服务体系，提升公共服务的便利性、普惠性、可及性，人民幸福感持续增强。</w:t>
      </w:r>
    </w:p>
    <w:p w14:paraId="60893C40">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社会治理得到新提升。</w:t>
      </w:r>
      <w:r>
        <w:rPr>
          <w:rFonts w:hint="eastAsia" w:ascii="仿宋" w:hAnsi="仿宋" w:eastAsia="仿宋" w:cs="仿宋"/>
          <w:b w:val="0"/>
          <w:bCs/>
          <w:color w:val="000000" w:themeColor="text1"/>
          <w:sz w:val="32"/>
          <w:szCs w:val="32"/>
          <w:lang w:val="en-US" w:eastAsia="zh-CN"/>
          <w14:textFill>
            <w14:solidFill>
              <w14:schemeClr w14:val="tx1"/>
            </w14:solidFill>
          </w14:textFill>
        </w:rPr>
        <w:t>旗域现代化社会治理体系基本形成，</w:t>
      </w:r>
      <w:r>
        <w:rPr>
          <w:rFonts w:hint="eastAsia" w:ascii="仿宋" w:hAnsi="仿宋" w:eastAsia="仿宋" w:cs="仿宋"/>
          <w:b w:val="0"/>
          <w:bCs/>
          <w:color w:val="000000" w:themeColor="text1"/>
          <w:sz w:val="32"/>
          <w:szCs w:val="32"/>
          <w14:textFill>
            <w14:solidFill>
              <w14:schemeClr w14:val="tx1"/>
            </w14:solidFill>
          </w14:textFill>
        </w:rPr>
        <w:t>社会治理能力</w:t>
      </w:r>
      <w:r>
        <w:rPr>
          <w:rFonts w:hint="eastAsia" w:ascii="仿宋" w:hAnsi="仿宋" w:eastAsia="仿宋" w:cs="仿宋"/>
          <w:b w:val="0"/>
          <w:bCs/>
          <w:color w:val="000000" w:themeColor="text1"/>
          <w:sz w:val="32"/>
          <w:szCs w:val="32"/>
          <w:lang w:val="en-US" w:eastAsia="zh-CN"/>
          <w14:textFill>
            <w14:solidFill>
              <w14:schemeClr w14:val="tx1"/>
            </w14:solidFill>
          </w14:textFill>
        </w:rPr>
        <w:t>持续</w:t>
      </w:r>
      <w:r>
        <w:rPr>
          <w:rFonts w:hint="eastAsia" w:ascii="仿宋" w:hAnsi="仿宋" w:eastAsia="仿宋" w:cs="仿宋"/>
          <w:b w:val="0"/>
          <w:bCs/>
          <w:color w:val="000000" w:themeColor="text1"/>
          <w:sz w:val="32"/>
          <w:szCs w:val="32"/>
          <w14:textFill>
            <w14:solidFill>
              <w14:schemeClr w14:val="tx1"/>
            </w14:solidFill>
          </w14:textFill>
        </w:rPr>
        <w:t>提升</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社会风险有效化解，</w:t>
      </w:r>
      <w:r>
        <w:rPr>
          <w:rFonts w:hint="eastAsia" w:ascii="仿宋" w:hAnsi="仿宋" w:eastAsia="仿宋" w:cs="仿宋"/>
          <w:b w:val="0"/>
          <w:bCs/>
          <w:color w:val="000000" w:themeColor="text1"/>
          <w:sz w:val="32"/>
          <w:szCs w:val="32"/>
          <w:lang w:val="en-US" w:eastAsia="zh-CN"/>
          <w14:textFill>
            <w14:solidFill>
              <w14:schemeClr w14:val="tx1"/>
            </w14:solidFill>
          </w14:textFill>
        </w:rPr>
        <w:t>法治政府、法治社会、法治市场</w:t>
      </w:r>
      <w:r>
        <w:rPr>
          <w:rFonts w:hint="eastAsia" w:ascii="仿宋" w:hAnsi="仿宋" w:eastAsia="仿宋" w:cs="仿宋"/>
          <w:b w:val="0"/>
          <w:bCs/>
          <w:color w:val="000000" w:themeColor="text1"/>
          <w:sz w:val="32"/>
          <w:szCs w:val="32"/>
          <w14:textFill>
            <w14:solidFill>
              <w14:schemeClr w14:val="tx1"/>
            </w14:solidFill>
          </w14:textFill>
        </w:rPr>
        <w:t>建设全面推进，</w:t>
      </w:r>
      <w:r>
        <w:rPr>
          <w:rFonts w:hint="eastAsia" w:ascii="仿宋" w:hAnsi="仿宋" w:eastAsia="仿宋" w:cs="仿宋"/>
          <w:b w:val="0"/>
          <w:bCs/>
          <w:color w:val="000000" w:themeColor="text1"/>
          <w:sz w:val="32"/>
          <w:szCs w:val="32"/>
          <w:lang w:val="en-US" w:eastAsia="zh-CN"/>
          <w14:textFill>
            <w14:solidFill>
              <w14:schemeClr w14:val="tx1"/>
            </w14:solidFill>
          </w14:textFill>
        </w:rPr>
        <w:t>营商环境显著改善，</w:t>
      </w:r>
      <w:r>
        <w:rPr>
          <w:rFonts w:hint="eastAsia" w:ascii="仿宋" w:hAnsi="仿宋" w:eastAsia="仿宋" w:cs="仿宋"/>
          <w:color w:val="000000" w:themeColor="text1"/>
          <w:sz w:val="32"/>
          <w:szCs w:val="32"/>
          <w14:textFill>
            <w14:solidFill>
              <w14:schemeClr w14:val="tx1"/>
            </w14:solidFill>
          </w14:textFill>
        </w:rPr>
        <w:t>社会公平正义进一步彰显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思想道德建设不断加强，公民素质</w:t>
      </w:r>
      <w:r>
        <w:rPr>
          <w:rFonts w:hint="eastAsia" w:ascii="仿宋" w:hAnsi="仿宋" w:eastAsia="仿宋" w:cs="仿宋"/>
          <w:color w:val="000000" w:themeColor="text1"/>
          <w:sz w:val="32"/>
          <w:szCs w:val="32"/>
          <w:lang w:val="en-US" w:eastAsia="zh-CN"/>
          <w14:textFill>
            <w14:solidFill>
              <w14:schemeClr w14:val="tx1"/>
            </w14:solidFill>
          </w14:textFill>
        </w:rPr>
        <w:t>持续</w:t>
      </w:r>
      <w:r>
        <w:rPr>
          <w:rFonts w:hint="eastAsia" w:ascii="仿宋" w:hAnsi="仿宋" w:eastAsia="仿宋" w:cs="仿宋"/>
          <w:color w:val="000000" w:themeColor="text1"/>
          <w:sz w:val="32"/>
          <w:szCs w:val="32"/>
          <w14:textFill>
            <w14:solidFill>
              <w14:schemeClr w14:val="tx1"/>
            </w14:solidFill>
          </w14:textFill>
        </w:rPr>
        <w:t>提高，民族团结局面不断巩固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中华民族共同体意识显著增强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社会文明展现新气象。</w:t>
      </w:r>
    </w:p>
    <w:p w14:paraId="628930C6">
      <w:pPr>
        <w:spacing w:line="360" w:lineRule="auto"/>
        <w:jc w:val="both"/>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tbl>
      <w:tblPr>
        <w:tblStyle w:val="13"/>
        <w:tblW w:w="4629"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3084"/>
        <w:gridCol w:w="972"/>
        <w:gridCol w:w="1128"/>
        <w:gridCol w:w="1230"/>
        <w:gridCol w:w="777"/>
      </w:tblGrid>
      <w:tr w14:paraId="690CFE4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trPr>
        <w:tc>
          <w:tcPr>
            <w:tcW w:w="5000" w:type="pct"/>
            <w:gridSpan w:val="6"/>
            <w:tcBorders>
              <w:tl2br w:val="nil"/>
              <w:tr2bl w:val="nil"/>
            </w:tcBorders>
            <w:vAlign w:val="center"/>
          </w:tcPr>
          <w:p w14:paraId="2BB64549">
            <w:pPr>
              <w:pStyle w:val="2"/>
              <w:jc w:val="center"/>
              <w:rPr>
                <w:rFonts w:hint="eastAsia"/>
                <w:lang w:val="en-US" w:eastAsia="zh-CN"/>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专栏1：“十四五”时期经济社会发展主要指标</w:t>
            </w:r>
          </w:p>
          <w:p w14:paraId="207158B5">
            <w:pPr>
              <w:spacing w:line="360" w:lineRule="auto"/>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r>
      <w:tr w14:paraId="475D7C9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trPr>
        <w:tc>
          <w:tcPr>
            <w:tcW w:w="443" w:type="pct"/>
            <w:tcBorders>
              <w:tl2br w:val="nil"/>
              <w:tr2bl w:val="nil"/>
            </w:tcBorders>
            <w:vAlign w:val="center"/>
          </w:tcPr>
          <w:p w14:paraId="0D02B1F7">
            <w:pPr>
              <w:spacing w:line="360" w:lineRule="auto"/>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类别</w:t>
            </w:r>
          </w:p>
        </w:tc>
        <w:tc>
          <w:tcPr>
            <w:tcW w:w="1954" w:type="pct"/>
            <w:tcBorders>
              <w:tl2br w:val="nil"/>
              <w:tr2bl w:val="nil"/>
            </w:tcBorders>
            <w:vAlign w:val="center"/>
          </w:tcPr>
          <w:p w14:paraId="692FF959">
            <w:pPr>
              <w:spacing w:line="360" w:lineRule="auto"/>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指  标</w:t>
            </w:r>
          </w:p>
        </w:tc>
        <w:tc>
          <w:tcPr>
            <w:tcW w:w="615" w:type="pct"/>
            <w:tcBorders>
              <w:tl2br w:val="nil"/>
              <w:tr2bl w:val="nil"/>
            </w:tcBorders>
            <w:vAlign w:val="center"/>
          </w:tcPr>
          <w:p w14:paraId="37330E54">
            <w:pPr>
              <w:spacing w:line="360" w:lineRule="auto"/>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2020年</w:t>
            </w:r>
          </w:p>
          <w:p w14:paraId="03D996A9">
            <w:pPr>
              <w:spacing w:line="360" w:lineRule="auto"/>
              <w:jc w:val="center"/>
              <w:rPr>
                <w:rFonts w:hint="eastAsia" w:eastAsiaTheme="minorEastAsia"/>
                <w:lang w:val="en-US" w:eastAsia="zh-CN"/>
              </w:rPr>
            </w:pP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实际</w:t>
            </w:r>
          </w:p>
        </w:tc>
        <w:tc>
          <w:tcPr>
            <w:tcW w:w="714" w:type="pct"/>
            <w:tcBorders>
              <w:tl2br w:val="nil"/>
              <w:tr2bl w:val="nil"/>
            </w:tcBorders>
            <w:vAlign w:val="center"/>
          </w:tcPr>
          <w:p w14:paraId="1AE008C3">
            <w:pPr>
              <w:spacing w:line="360" w:lineRule="auto"/>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2025年</w:t>
            </w:r>
          </w:p>
          <w:p w14:paraId="165FF9A5">
            <w:pPr>
              <w:spacing w:line="360" w:lineRule="auto"/>
              <w:jc w:val="center"/>
              <w:rPr>
                <w:rFonts w:hint="eastAsia" w:eastAsiaTheme="minorEastAsia"/>
                <w:lang w:val="en-US" w:eastAsia="zh-CN"/>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目标</w:t>
            </w:r>
          </w:p>
        </w:tc>
        <w:tc>
          <w:tcPr>
            <w:tcW w:w="779" w:type="pct"/>
            <w:tcBorders>
              <w:tl2br w:val="nil"/>
              <w:tr2bl w:val="nil"/>
            </w:tcBorders>
            <w:vAlign w:val="center"/>
          </w:tcPr>
          <w:p w14:paraId="37734972">
            <w:pPr>
              <w:spacing w:line="360" w:lineRule="auto"/>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年均</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/累计</w:t>
            </w:r>
          </w:p>
        </w:tc>
        <w:tc>
          <w:tcPr>
            <w:tcW w:w="492" w:type="pct"/>
            <w:tcBorders>
              <w:tl2br w:val="nil"/>
              <w:tr2bl w:val="nil"/>
            </w:tcBorders>
            <w:vAlign w:val="center"/>
          </w:tcPr>
          <w:p w14:paraId="1154FD00">
            <w:pPr>
              <w:spacing w:line="360" w:lineRule="auto"/>
              <w:jc w:val="cente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属 性</w:t>
            </w:r>
          </w:p>
        </w:tc>
      </w:tr>
      <w:tr w14:paraId="2A06769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exact"/>
        </w:trPr>
        <w:tc>
          <w:tcPr>
            <w:tcW w:w="443" w:type="pct"/>
            <w:vMerge w:val="restart"/>
            <w:tcBorders>
              <w:tl2br w:val="nil"/>
              <w:tr2bl w:val="nil"/>
            </w:tcBorders>
            <w:vAlign w:val="center"/>
          </w:tcPr>
          <w:p w14:paraId="7FD5D6FD">
            <w:pPr>
              <w:spacing w:line="360" w:lineRule="auto"/>
              <w:jc w:val="both"/>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经济</w:t>
            </w:r>
          </w:p>
          <w:p w14:paraId="16FA981C">
            <w:pPr>
              <w:spacing w:line="360" w:lineRule="auto"/>
              <w:jc w:val="both"/>
              <w:rPr>
                <w:rFonts w:hint="default"/>
                <w:lang w:val="en-US" w:eastAsia="zh-CN"/>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发展</w:t>
            </w:r>
          </w:p>
        </w:tc>
        <w:tc>
          <w:tcPr>
            <w:tcW w:w="1954" w:type="pct"/>
            <w:tcBorders>
              <w:tl2br w:val="nil"/>
              <w:tr2bl w:val="nil"/>
            </w:tcBorders>
            <w:vAlign w:val="center"/>
          </w:tcPr>
          <w:p w14:paraId="1F3A7420">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14:textFill>
                  <w14:solidFill>
                    <w14:schemeClr w14:val="tx1"/>
                  </w14:solidFill>
                </w14:textFill>
              </w:rPr>
              <w:t>地区生产总值</w:t>
            </w:r>
            <w:r>
              <w:rPr>
                <w:rFonts w:hint="eastAsia" w:asciiTheme="minorEastAsia" w:hAnsiTheme="minorEastAsia" w:cstheme="minorEastAsia"/>
                <w:color w:val="000000" w:themeColor="text1"/>
                <w:sz w:val="18"/>
                <w:szCs w:val="18"/>
                <w:lang w:val="en-US" w:eastAsia="zh-CN"/>
                <w14:textFill>
                  <w14:solidFill>
                    <w14:schemeClr w14:val="tx1"/>
                  </w14:solidFill>
                </w14:textFill>
              </w:rPr>
              <w:t>增长</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615" w:type="pct"/>
            <w:tcBorders>
              <w:tl2br w:val="nil"/>
              <w:tr2bl w:val="nil"/>
            </w:tcBorders>
            <w:vAlign w:val="center"/>
          </w:tcPr>
          <w:p w14:paraId="16125625">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3.4</w:t>
            </w:r>
          </w:p>
        </w:tc>
        <w:tc>
          <w:tcPr>
            <w:tcW w:w="714" w:type="pct"/>
            <w:tcBorders>
              <w:tl2br w:val="nil"/>
              <w:tr2bl w:val="nil"/>
            </w:tcBorders>
            <w:vAlign w:val="center"/>
          </w:tcPr>
          <w:p w14:paraId="38C0847C">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79" w:type="pct"/>
            <w:tcBorders>
              <w:tl2br w:val="nil"/>
              <w:tr2bl w:val="nil"/>
            </w:tcBorders>
            <w:vAlign w:val="center"/>
          </w:tcPr>
          <w:p w14:paraId="7713C113">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7</w:t>
            </w:r>
          </w:p>
        </w:tc>
        <w:tc>
          <w:tcPr>
            <w:tcW w:w="492" w:type="pct"/>
            <w:tcBorders>
              <w:tl2br w:val="nil"/>
              <w:tr2bl w:val="nil"/>
            </w:tcBorders>
            <w:vAlign w:val="center"/>
          </w:tcPr>
          <w:p w14:paraId="3242ED57">
            <w:pPr>
              <w:tabs>
                <w:tab w:val="center" w:pos="458"/>
              </w:tabs>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27DF929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443" w:type="pct"/>
            <w:vMerge w:val="continue"/>
            <w:tcBorders>
              <w:tl2br w:val="nil"/>
              <w:tr2bl w:val="nil"/>
            </w:tcBorders>
            <w:vAlign w:val="center"/>
          </w:tcPr>
          <w:p w14:paraId="3A6ED4CB">
            <w:pPr>
              <w:spacing w:line="360" w:lineRule="auto"/>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54" w:type="pct"/>
            <w:tcBorders>
              <w:tl2br w:val="nil"/>
              <w:tr2bl w:val="nil"/>
            </w:tcBorders>
            <w:vAlign w:val="center"/>
          </w:tcPr>
          <w:p w14:paraId="157117BE">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全员劳动生产率</w:t>
            </w:r>
            <w:r>
              <w:rPr>
                <w:rFonts w:hint="eastAsia" w:asciiTheme="minorEastAsia" w:hAnsiTheme="minorEastAsia" w:cstheme="minorEastAsia"/>
                <w:color w:val="000000" w:themeColor="text1"/>
                <w:sz w:val="18"/>
                <w:szCs w:val="18"/>
                <w:lang w:val="en-US" w:eastAsia="zh-CN"/>
                <w14:textFill>
                  <w14:solidFill>
                    <w14:schemeClr w14:val="tx1"/>
                  </w14:solidFill>
                </w14:textFill>
              </w:rPr>
              <w:t>增长（%）</w:t>
            </w:r>
          </w:p>
          <w:p w14:paraId="3B806382">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（万元/人）</w:t>
            </w:r>
          </w:p>
        </w:tc>
        <w:tc>
          <w:tcPr>
            <w:tcW w:w="615" w:type="pct"/>
            <w:tcBorders>
              <w:tl2br w:val="nil"/>
              <w:tr2bl w:val="nil"/>
            </w:tcBorders>
            <w:vAlign w:val="center"/>
          </w:tcPr>
          <w:p w14:paraId="5B3FEB7A">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14" w:type="pct"/>
            <w:tcBorders>
              <w:tl2br w:val="nil"/>
              <w:tr2bl w:val="nil"/>
            </w:tcBorders>
            <w:vAlign w:val="center"/>
          </w:tcPr>
          <w:p w14:paraId="215CF117">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79" w:type="pct"/>
            <w:tcBorders>
              <w:tl2br w:val="nil"/>
              <w:tr2bl w:val="nil"/>
            </w:tcBorders>
            <w:vAlign w:val="center"/>
          </w:tcPr>
          <w:p w14:paraId="1ADCA4DD">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5.5</w:t>
            </w:r>
          </w:p>
        </w:tc>
        <w:tc>
          <w:tcPr>
            <w:tcW w:w="492" w:type="pct"/>
            <w:tcBorders>
              <w:tl2br w:val="nil"/>
              <w:tr2bl w:val="nil"/>
            </w:tcBorders>
            <w:vAlign w:val="center"/>
          </w:tcPr>
          <w:p w14:paraId="18A5BFF9">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5180C8A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443" w:type="pct"/>
            <w:vMerge w:val="continue"/>
            <w:tcBorders>
              <w:tl2br w:val="nil"/>
              <w:tr2bl w:val="nil"/>
            </w:tcBorders>
            <w:vAlign w:val="center"/>
          </w:tcPr>
          <w:p w14:paraId="6A62A6C0">
            <w:pPr>
              <w:spacing w:line="360" w:lineRule="auto"/>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954" w:type="pct"/>
            <w:tcBorders>
              <w:tl2br w:val="nil"/>
              <w:tr2bl w:val="nil"/>
            </w:tcBorders>
            <w:vAlign w:val="center"/>
          </w:tcPr>
          <w:p w14:paraId="0F49F4F9">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14:textFill>
                  <w14:solidFill>
                    <w14:schemeClr w14:val="tx1"/>
                  </w14:solidFill>
                </w14:textFill>
              </w:rPr>
              <w:t>常住人口城镇化率（%）</w:t>
            </w:r>
          </w:p>
        </w:tc>
        <w:tc>
          <w:tcPr>
            <w:tcW w:w="615" w:type="pct"/>
            <w:tcBorders>
              <w:tl2br w:val="nil"/>
              <w:tr2bl w:val="nil"/>
            </w:tcBorders>
            <w:vAlign w:val="center"/>
          </w:tcPr>
          <w:p w14:paraId="79EC73DD">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38.5</w:t>
            </w:r>
          </w:p>
        </w:tc>
        <w:tc>
          <w:tcPr>
            <w:tcW w:w="714" w:type="pct"/>
            <w:tcBorders>
              <w:tl2br w:val="nil"/>
              <w:tr2bl w:val="nil"/>
            </w:tcBorders>
            <w:vAlign w:val="center"/>
          </w:tcPr>
          <w:p w14:paraId="53F5427F">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45</w:t>
            </w:r>
          </w:p>
        </w:tc>
        <w:tc>
          <w:tcPr>
            <w:tcW w:w="779" w:type="pct"/>
            <w:tcBorders>
              <w:tl2br w:val="nil"/>
              <w:tr2bl w:val="nil"/>
            </w:tcBorders>
            <w:vAlign w:val="center"/>
          </w:tcPr>
          <w:p w14:paraId="5CDBD034">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492" w:type="pct"/>
            <w:tcBorders>
              <w:tl2br w:val="nil"/>
              <w:tr2bl w:val="nil"/>
            </w:tcBorders>
            <w:vAlign w:val="center"/>
          </w:tcPr>
          <w:p w14:paraId="2F72C02E">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508D512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exact"/>
        </w:trPr>
        <w:tc>
          <w:tcPr>
            <w:tcW w:w="443" w:type="pct"/>
            <w:vMerge w:val="restart"/>
            <w:tcBorders>
              <w:tl2br w:val="nil"/>
              <w:tr2bl w:val="nil"/>
            </w:tcBorders>
            <w:vAlign w:val="center"/>
          </w:tcPr>
          <w:p w14:paraId="7DC7F53D">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创新</w:t>
            </w:r>
          </w:p>
          <w:p w14:paraId="16B44998">
            <w:p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驱动</w:t>
            </w:r>
          </w:p>
        </w:tc>
        <w:tc>
          <w:tcPr>
            <w:tcW w:w="1954" w:type="pct"/>
            <w:tcBorders>
              <w:tl2br w:val="nil"/>
              <w:tr2bl w:val="nil"/>
            </w:tcBorders>
            <w:vAlign w:val="center"/>
          </w:tcPr>
          <w:p w14:paraId="73982FD7">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4.全社会</w:t>
            </w:r>
            <w:r>
              <w:rPr>
                <w:rFonts w:hint="eastAsia" w:asciiTheme="minorEastAsia" w:hAnsiTheme="minorEastAsia" w:eastAsiaTheme="minorEastAsia" w:cstheme="minorEastAsia"/>
                <w:color w:val="000000" w:themeColor="text1"/>
                <w:sz w:val="18"/>
                <w:szCs w:val="18"/>
                <w14:textFill>
                  <w14:solidFill>
                    <w14:schemeClr w14:val="tx1"/>
                  </w14:solidFill>
                </w14:textFill>
              </w:rPr>
              <w:t>研发经费投入</w:t>
            </w:r>
            <w:r>
              <w:rPr>
                <w:rFonts w:hint="eastAsia" w:asciiTheme="minorEastAsia" w:hAnsiTheme="minorEastAsia" w:cstheme="minorEastAsia"/>
                <w:color w:val="000000" w:themeColor="text1"/>
                <w:sz w:val="18"/>
                <w:szCs w:val="18"/>
                <w:lang w:val="en-US" w:eastAsia="zh-CN"/>
                <w14:textFill>
                  <w14:solidFill>
                    <w14:schemeClr w14:val="tx1"/>
                  </w14:solidFill>
                </w14:textFill>
              </w:rPr>
              <w:t>增长率</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615" w:type="pct"/>
            <w:tcBorders>
              <w:tl2br w:val="nil"/>
              <w:tr2bl w:val="nil"/>
            </w:tcBorders>
            <w:vAlign w:val="center"/>
          </w:tcPr>
          <w:p w14:paraId="38B229DB">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14" w:type="pct"/>
            <w:tcBorders>
              <w:tl2br w:val="nil"/>
              <w:tr2bl w:val="nil"/>
            </w:tcBorders>
            <w:vAlign w:val="center"/>
          </w:tcPr>
          <w:p w14:paraId="1009675B">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79" w:type="pct"/>
            <w:tcBorders>
              <w:tl2br w:val="nil"/>
              <w:tr2bl w:val="nil"/>
            </w:tcBorders>
            <w:vAlign w:val="center"/>
          </w:tcPr>
          <w:p w14:paraId="410D8853">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14</w:t>
            </w:r>
          </w:p>
        </w:tc>
        <w:tc>
          <w:tcPr>
            <w:tcW w:w="492" w:type="pct"/>
            <w:tcBorders>
              <w:tl2br w:val="nil"/>
              <w:tr2bl w:val="nil"/>
            </w:tcBorders>
            <w:vAlign w:val="center"/>
          </w:tcPr>
          <w:p w14:paraId="084C0312">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771BBCE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exact"/>
        </w:trPr>
        <w:tc>
          <w:tcPr>
            <w:tcW w:w="443" w:type="pct"/>
            <w:vMerge w:val="continue"/>
            <w:tcBorders>
              <w:tl2br w:val="nil"/>
              <w:tr2bl w:val="nil"/>
            </w:tcBorders>
            <w:vAlign w:val="center"/>
          </w:tcPr>
          <w:p w14:paraId="0105CC8C">
            <w:pPr>
              <w:spacing w:line="360" w:lineRule="auto"/>
              <w:ind w:firstLine="420"/>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954" w:type="pct"/>
            <w:tcBorders>
              <w:tl2br w:val="nil"/>
              <w:tr2bl w:val="nil"/>
            </w:tcBorders>
            <w:vAlign w:val="center"/>
          </w:tcPr>
          <w:p w14:paraId="72FB8F69">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18"/>
                <w:szCs w:val="18"/>
                <w14:textFill>
                  <w14:solidFill>
                    <w14:schemeClr w14:val="tx1"/>
                  </w14:solidFill>
                </w14:textFill>
              </w:rPr>
              <w:t>数字经济核心产业增加值占地区生产总值比重（%）</w:t>
            </w:r>
          </w:p>
        </w:tc>
        <w:tc>
          <w:tcPr>
            <w:tcW w:w="615" w:type="pct"/>
            <w:tcBorders>
              <w:tl2br w:val="nil"/>
              <w:tr2bl w:val="nil"/>
            </w:tcBorders>
            <w:vAlign w:val="center"/>
          </w:tcPr>
          <w:p w14:paraId="5F060EDE">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14" w:type="pct"/>
            <w:tcBorders>
              <w:tl2br w:val="nil"/>
              <w:tr2bl w:val="nil"/>
            </w:tcBorders>
            <w:vAlign w:val="center"/>
          </w:tcPr>
          <w:p w14:paraId="5307027E">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2.5</w:t>
            </w:r>
          </w:p>
        </w:tc>
        <w:tc>
          <w:tcPr>
            <w:tcW w:w="779" w:type="pct"/>
            <w:tcBorders>
              <w:tl2br w:val="nil"/>
              <w:tr2bl w:val="nil"/>
            </w:tcBorders>
            <w:vAlign w:val="center"/>
          </w:tcPr>
          <w:p w14:paraId="12D2108C">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492" w:type="pct"/>
            <w:tcBorders>
              <w:tl2br w:val="nil"/>
              <w:tr2bl w:val="nil"/>
            </w:tcBorders>
            <w:vAlign w:val="center"/>
          </w:tcPr>
          <w:p w14:paraId="483B69CD">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76DBD05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exact"/>
        </w:trPr>
        <w:tc>
          <w:tcPr>
            <w:tcW w:w="443" w:type="pct"/>
            <w:vMerge w:val="restart"/>
            <w:tcBorders>
              <w:tl2br w:val="nil"/>
              <w:tr2bl w:val="nil"/>
            </w:tcBorders>
            <w:vAlign w:val="center"/>
          </w:tcPr>
          <w:p w14:paraId="63D43805">
            <w:pPr>
              <w:spacing w:line="360" w:lineRule="auto"/>
              <w:jc w:val="both"/>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pPr>
            <w:r>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t>民生</w:t>
            </w:r>
          </w:p>
          <w:p w14:paraId="1F14A2A1">
            <w:pPr>
              <w:pStyle w:val="2"/>
              <w:rPr>
                <w:rFonts w:hint="default"/>
                <w:lang w:val="en-US" w:eastAsia="zh-CN"/>
              </w:rPr>
            </w:pPr>
            <w:r>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t>福祉</w:t>
            </w:r>
          </w:p>
        </w:tc>
        <w:tc>
          <w:tcPr>
            <w:tcW w:w="1954" w:type="pct"/>
            <w:tcBorders>
              <w:tl2br w:val="nil"/>
              <w:tr2bl w:val="nil"/>
            </w:tcBorders>
            <w:vAlign w:val="center"/>
          </w:tcPr>
          <w:p w14:paraId="29F12E2D">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18"/>
                <w:szCs w:val="18"/>
                <w14:textFill>
                  <w14:solidFill>
                    <w14:schemeClr w14:val="tx1"/>
                  </w14:solidFill>
                </w14:textFill>
              </w:rPr>
              <w:t>居民人均可支配收入增长率（%</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615" w:type="pct"/>
            <w:tcBorders>
              <w:tl2br w:val="nil"/>
              <w:tr2bl w:val="nil"/>
            </w:tcBorders>
            <w:vAlign w:val="center"/>
          </w:tcPr>
          <w:p w14:paraId="05F137BD">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714" w:type="pct"/>
            <w:tcBorders>
              <w:tl2br w:val="nil"/>
              <w:tr2bl w:val="nil"/>
            </w:tcBorders>
            <w:vAlign w:val="center"/>
          </w:tcPr>
          <w:p w14:paraId="645EACF8">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779" w:type="pct"/>
            <w:tcBorders>
              <w:tl2br w:val="nil"/>
              <w:tr2bl w:val="nil"/>
            </w:tcBorders>
            <w:vAlign w:val="center"/>
          </w:tcPr>
          <w:p w14:paraId="2B3E566B">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7</w:t>
            </w:r>
          </w:p>
        </w:tc>
        <w:tc>
          <w:tcPr>
            <w:tcW w:w="492" w:type="pct"/>
            <w:tcBorders>
              <w:tl2br w:val="nil"/>
              <w:tr2bl w:val="nil"/>
            </w:tcBorders>
            <w:vAlign w:val="center"/>
          </w:tcPr>
          <w:p w14:paraId="22EEB60C">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67B3E4A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exact"/>
        </w:trPr>
        <w:tc>
          <w:tcPr>
            <w:tcW w:w="443" w:type="pct"/>
            <w:vMerge w:val="continue"/>
            <w:tcBorders>
              <w:tl2br w:val="nil"/>
              <w:tr2bl w:val="nil"/>
            </w:tcBorders>
            <w:vAlign w:val="center"/>
          </w:tcPr>
          <w:p w14:paraId="47185047">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954" w:type="pct"/>
            <w:tcBorders>
              <w:tl2br w:val="nil"/>
              <w:tr2bl w:val="nil"/>
            </w:tcBorders>
            <w:vAlign w:val="center"/>
          </w:tcPr>
          <w:p w14:paraId="39E209F4">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18"/>
                <w:szCs w:val="18"/>
                <w14:textFill>
                  <w14:solidFill>
                    <w14:schemeClr w14:val="tx1"/>
                  </w14:solidFill>
                </w14:textFill>
              </w:rPr>
              <w:t>城镇调查失业率（%）</w:t>
            </w:r>
          </w:p>
        </w:tc>
        <w:tc>
          <w:tcPr>
            <w:tcW w:w="615" w:type="pct"/>
            <w:tcBorders>
              <w:tl2br w:val="nil"/>
              <w:tr2bl w:val="nil"/>
            </w:tcBorders>
            <w:vAlign w:val="center"/>
          </w:tcPr>
          <w:p w14:paraId="3584C1C4">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14" w:type="pct"/>
            <w:tcBorders>
              <w:tl2br w:val="nil"/>
              <w:tr2bl w:val="nil"/>
            </w:tcBorders>
            <w:vAlign w:val="center"/>
          </w:tcPr>
          <w:p w14:paraId="1E968BB1">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79" w:type="pct"/>
            <w:tcBorders>
              <w:tl2br w:val="nil"/>
              <w:tr2bl w:val="nil"/>
            </w:tcBorders>
            <w:vAlign w:val="center"/>
          </w:tcPr>
          <w:p w14:paraId="3FAB57AE">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6</w:t>
            </w:r>
          </w:p>
        </w:tc>
        <w:tc>
          <w:tcPr>
            <w:tcW w:w="492" w:type="pct"/>
            <w:tcBorders>
              <w:tl2br w:val="nil"/>
              <w:tr2bl w:val="nil"/>
            </w:tcBorders>
            <w:vAlign w:val="center"/>
          </w:tcPr>
          <w:p w14:paraId="4EDCFC57">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2C05328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exact"/>
        </w:trPr>
        <w:tc>
          <w:tcPr>
            <w:tcW w:w="443" w:type="pct"/>
            <w:vMerge w:val="continue"/>
            <w:tcBorders>
              <w:tl2br w:val="nil"/>
              <w:tr2bl w:val="nil"/>
            </w:tcBorders>
            <w:vAlign w:val="center"/>
          </w:tcPr>
          <w:p w14:paraId="6FF96E48">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954" w:type="pct"/>
            <w:tcBorders>
              <w:tl2br w:val="nil"/>
              <w:tr2bl w:val="nil"/>
            </w:tcBorders>
            <w:vAlign w:val="center"/>
          </w:tcPr>
          <w:p w14:paraId="06C1822E">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18"/>
                <w:szCs w:val="18"/>
                <w14:textFill>
                  <w14:solidFill>
                    <w14:schemeClr w14:val="tx1"/>
                  </w14:solidFill>
                </w14:textFill>
              </w:rPr>
              <w:t>人均预期寿命</w:t>
            </w:r>
          </w:p>
        </w:tc>
        <w:tc>
          <w:tcPr>
            <w:tcW w:w="615" w:type="pct"/>
            <w:tcBorders>
              <w:tl2br w:val="nil"/>
              <w:tr2bl w:val="nil"/>
            </w:tcBorders>
            <w:vAlign w:val="center"/>
          </w:tcPr>
          <w:p w14:paraId="3B53A314">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76</w:t>
            </w:r>
          </w:p>
        </w:tc>
        <w:tc>
          <w:tcPr>
            <w:tcW w:w="714" w:type="pct"/>
            <w:tcBorders>
              <w:tl2br w:val="nil"/>
              <w:tr2bl w:val="nil"/>
            </w:tcBorders>
            <w:vAlign w:val="center"/>
          </w:tcPr>
          <w:p w14:paraId="5608DB8D">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78</w:t>
            </w:r>
          </w:p>
        </w:tc>
        <w:tc>
          <w:tcPr>
            <w:tcW w:w="779" w:type="pct"/>
            <w:tcBorders>
              <w:tl2br w:val="nil"/>
              <w:tr2bl w:val="nil"/>
            </w:tcBorders>
            <w:vAlign w:val="center"/>
          </w:tcPr>
          <w:p w14:paraId="130A9CDE">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492" w:type="pct"/>
            <w:tcBorders>
              <w:tl2br w:val="nil"/>
              <w:tr2bl w:val="nil"/>
            </w:tcBorders>
            <w:vAlign w:val="center"/>
          </w:tcPr>
          <w:p w14:paraId="470F3D05">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677E600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trPr>
        <w:tc>
          <w:tcPr>
            <w:tcW w:w="443" w:type="pct"/>
            <w:vMerge w:val="continue"/>
            <w:tcBorders>
              <w:tl2br w:val="nil"/>
              <w:tr2bl w:val="nil"/>
            </w:tcBorders>
            <w:vAlign w:val="center"/>
          </w:tcPr>
          <w:p w14:paraId="19270AD9">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954" w:type="pct"/>
            <w:tcBorders>
              <w:tl2br w:val="nil"/>
              <w:tr2bl w:val="nil"/>
            </w:tcBorders>
            <w:vAlign w:val="center"/>
          </w:tcPr>
          <w:p w14:paraId="619F51D7">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18"/>
                <w:szCs w:val="18"/>
                <w14:textFill>
                  <w14:solidFill>
                    <w14:schemeClr w14:val="tx1"/>
                  </w14:solidFill>
                </w14:textFill>
              </w:rPr>
              <w:t>每千人口拥有职业（助理）医师人数</w:t>
            </w:r>
          </w:p>
        </w:tc>
        <w:tc>
          <w:tcPr>
            <w:tcW w:w="615" w:type="pct"/>
            <w:tcBorders>
              <w:tl2br w:val="nil"/>
              <w:tr2bl w:val="nil"/>
            </w:tcBorders>
            <w:vAlign w:val="center"/>
          </w:tcPr>
          <w:p w14:paraId="2E2030DE">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2.7</w:t>
            </w:r>
          </w:p>
        </w:tc>
        <w:tc>
          <w:tcPr>
            <w:tcW w:w="714" w:type="pct"/>
            <w:tcBorders>
              <w:tl2br w:val="nil"/>
              <w:tr2bl w:val="nil"/>
            </w:tcBorders>
            <w:vAlign w:val="center"/>
          </w:tcPr>
          <w:p w14:paraId="46188CE4">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3</w:t>
            </w:r>
          </w:p>
        </w:tc>
        <w:tc>
          <w:tcPr>
            <w:tcW w:w="779" w:type="pct"/>
            <w:tcBorders>
              <w:tl2br w:val="nil"/>
              <w:tr2bl w:val="nil"/>
            </w:tcBorders>
            <w:vAlign w:val="center"/>
          </w:tcPr>
          <w:p w14:paraId="71C32720">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492" w:type="pct"/>
            <w:tcBorders>
              <w:tl2br w:val="nil"/>
              <w:tr2bl w:val="nil"/>
            </w:tcBorders>
            <w:vAlign w:val="center"/>
          </w:tcPr>
          <w:p w14:paraId="393634E9">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预期</w:t>
            </w:r>
            <w:r>
              <w:rPr>
                <w:rFonts w:hint="eastAsia" w:asciiTheme="minorEastAsia" w:hAnsiTheme="minorEastAsia" w:eastAsiaTheme="minorEastAsia" w:cstheme="minorEastAsia"/>
                <w:color w:val="000000" w:themeColor="text1"/>
                <w:sz w:val="18"/>
                <w:szCs w:val="18"/>
                <w14:textFill>
                  <w14:solidFill>
                    <w14:schemeClr w14:val="tx1"/>
                  </w14:solidFill>
                </w14:textFill>
              </w:rPr>
              <w:t>性</w:t>
            </w:r>
          </w:p>
        </w:tc>
      </w:tr>
      <w:tr w14:paraId="5A0D832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exact"/>
        </w:trPr>
        <w:tc>
          <w:tcPr>
            <w:tcW w:w="443" w:type="pct"/>
            <w:vMerge w:val="continue"/>
            <w:tcBorders>
              <w:tl2br w:val="nil"/>
              <w:tr2bl w:val="nil"/>
            </w:tcBorders>
            <w:vAlign w:val="center"/>
          </w:tcPr>
          <w:p w14:paraId="7C36E665">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954" w:type="pct"/>
            <w:tcBorders>
              <w:tl2br w:val="nil"/>
              <w:tr2bl w:val="nil"/>
            </w:tcBorders>
            <w:vAlign w:val="center"/>
          </w:tcPr>
          <w:p w14:paraId="4B2DDAA7">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18"/>
                <w:szCs w:val="18"/>
                <w14:textFill>
                  <w14:solidFill>
                    <w14:schemeClr w14:val="tx1"/>
                  </w14:solidFill>
                </w14:textFill>
              </w:rPr>
              <w:t>劳动年龄人口平均受教育年限（年）</w:t>
            </w:r>
          </w:p>
        </w:tc>
        <w:tc>
          <w:tcPr>
            <w:tcW w:w="615" w:type="pct"/>
            <w:tcBorders>
              <w:tl2br w:val="nil"/>
              <w:tr2bl w:val="nil"/>
            </w:tcBorders>
            <w:vAlign w:val="center"/>
          </w:tcPr>
          <w:p w14:paraId="554607CC">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14" w:type="pct"/>
            <w:tcBorders>
              <w:tl2br w:val="nil"/>
              <w:tr2bl w:val="nil"/>
            </w:tcBorders>
            <w:vAlign w:val="center"/>
          </w:tcPr>
          <w:p w14:paraId="600D8738">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11</w:t>
            </w:r>
          </w:p>
        </w:tc>
        <w:tc>
          <w:tcPr>
            <w:tcW w:w="779" w:type="pct"/>
            <w:tcBorders>
              <w:tl2br w:val="nil"/>
              <w:tr2bl w:val="nil"/>
            </w:tcBorders>
            <w:vAlign w:val="center"/>
          </w:tcPr>
          <w:p w14:paraId="0975F975">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492" w:type="pct"/>
            <w:tcBorders>
              <w:tl2br w:val="nil"/>
              <w:tr2bl w:val="nil"/>
            </w:tcBorders>
            <w:vAlign w:val="center"/>
          </w:tcPr>
          <w:p w14:paraId="7DDD80C0">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r w14:paraId="20909A1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exact"/>
        </w:trPr>
        <w:tc>
          <w:tcPr>
            <w:tcW w:w="443" w:type="pct"/>
            <w:vMerge w:val="continue"/>
            <w:tcBorders>
              <w:tl2br w:val="nil"/>
              <w:tr2bl w:val="nil"/>
            </w:tcBorders>
            <w:vAlign w:val="center"/>
          </w:tcPr>
          <w:p w14:paraId="730C90CC">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954" w:type="pct"/>
            <w:tcBorders>
              <w:tl2br w:val="nil"/>
              <w:tr2bl w:val="nil"/>
            </w:tcBorders>
            <w:vAlign w:val="center"/>
          </w:tcPr>
          <w:p w14:paraId="13D702B8">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18"/>
                <w:szCs w:val="18"/>
                <w14:textFill>
                  <w14:solidFill>
                    <w14:schemeClr w14:val="tx1"/>
                  </w14:solidFill>
                </w14:textFill>
              </w:rPr>
              <w:t>基本养老保险参保率（%）</w:t>
            </w:r>
          </w:p>
        </w:tc>
        <w:tc>
          <w:tcPr>
            <w:tcW w:w="615" w:type="pct"/>
            <w:tcBorders>
              <w:tl2br w:val="nil"/>
              <w:tr2bl w:val="nil"/>
            </w:tcBorders>
            <w:vAlign w:val="center"/>
          </w:tcPr>
          <w:p w14:paraId="2A72D80A">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14" w:type="pct"/>
            <w:tcBorders>
              <w:tl2br w:val="nil"/>
              <w:tr2bl w:val="nil"/>
            </w:tcBorders>
            <w:vAlign w:val="center"/>
          </w:tcPr>
          <w:p w14:paraId="2D1EA67D">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92</w:t>
            </w:r>
          </w:p>
        </w:tc>
        <w:tc>
          <w:tcPr>
            <w:tcW w:w="779" w:type="pct"/>
            <w:tcBorders>
              <w:tl2br w:val="nil"/>
              <w:tr2bl w:val="nil"/>
            </w:tcBorders>
            <w:vAlign w:val="center"/>
          </w:tcPr>
          <w:p w14:paraId="73EF0A63">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492" w:type="pct"/>
            <w:tcBorders>
              <w:tl2br w:val="nil"/>
              <w:tr2bl w:val="nil"/>
            </w:tcBorders>
            <w:vAlign w:val="center"/>
          </w:tcPr>
          <w:p w14:paraId="43ECB1D8">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预期性</w:t>
            </w:r>
          </w:p>
        </w:tc>
      </w:tr>
      <w:tr w14:paraId="14D157A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exact"/>
        </w:trPr>
        <w:tc>
          <w:tcPr>
            <w:tcW w:w="443" w:type="pct"/>
            <w:vMerge w:val="restart"/>
            <w:tcBorders>
              <w:tl2br w:val="nil"/>
              <w:tr2bl w:val="nil"/>
            </w:tcBorders>
            <w:vAlign w:val="center"/>
          </w:tcPr>
          <w:p w14:paraId="31906A32">
            <w:pPr>
              <w:spacing w:line="360" w:lineRule="auto"/>
              <w:jc w:val="both"/>
              <w:rPr>
                <w:rFonts w:hint="eastAsia"/>
              </w:rPr>
            </w:pPr>
          </w:p>
          <w:p w14:paraId="2A914769">
            <w:pPr>
              <w:spacing w:line="360" w:lineRule="auto"/>
              <w:jc w:val="both"/>
              <w:rPr>
                <w:rFonts w:hint="eastAsia"/>
                <w:lang w:val="en-US" w:eastAsia="zh-CN"/>
              </w:rPr>
            </w:pPr>
            <w:r>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t>绿色</w:t>
            </w:r>
          </w:p>
          <w:p w14:paraId="594C8884">
            <w:pPr>
              <w:pStyle w:val="2"/>
              <w:rPr>
                <w:rFonts w:hint="default"/>
                <w:lang w:val="en-US"/>
              </w:rPr>
            </w:pPr>
            <w:r>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t>生态</w:t>
            </w:r>
          </w:p>
        </w:tc>
        <w:tc>
          <w:tcPr>
            <w:tcW w:w="1954" w:type="pct"/>
            <w:tcBorders>
              <w:tl2br w:val="nil"/>
              <w:tr2bl w:val="nil"/>
            </w:tcBorders>
            <w:vAlign w:val="center"/>
          </w:tcPr>
          <w:p w14:paraId="6EFAFC78">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18"/>
                <w:szCs w:val="18"/>
                <w14:textFill>
                  <w14:solidFill>
                    <w14:schemeClr w14:val="tx1"/>
                  </w14:solidFill>
                </w14:textFill>
              </w:rPr>
              <w:t>单位地区生产总值能源消耗降幅（%）</w:t>
            </w:r>
          </w:p>
        </w:tc>
        <w:tc>
          <w:tcPr>
            <w:tcW w:w="615" w:type="pct"/>
            <w:tcBorders>
              <w:tl2br w:val="nil"/>
              <w:tr2bl w:val="nil"/>
            </w:tcBorders>
            <w:vAlign w:val="center"/>
          </w:tcPr>
          <w:p w14:paraId="0BAD83FB">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714" w:type="pct"/>
            <w:tcBorders>
              <w:tl2br w:val="nil"/>
              <w:tr2bl w:val="nil"/>
            </w:tcBorders>
            <w:vAlign w:val="center"/>
          </w:tcPr>
          <w:p w14:paraId="2AD5B8F1">
            <w:pPr>
              <w:spacing w:line="360" w:lineRule="auto"/>
              <w:jc w:val="both"/>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w:t>
            </w:r>
          </w:p>
        </w:tc>
        <w:tc>
          <w:tcPr>
            <w:tcW w:w="779" w:type="pct"/>
            <w:tcBorders>
              <w:tl2br w:val="nil"/>
              <w:tr2bl w:val="nil"/>
            </w:tcBorders>
            <w:vAlign w:val="center"/>
          </w:tcPr>
          <w:p w14:paraId="2957B33C">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达到自治区要求</w:t>
            </w:r>
          </w:p>
        </w:tc>
        <w:tc>
          <w:tcPr>
            <w:tcW w:w="492" w:type="pct"/>
            <w:tcBorders>
              <w:tl2br w:val="nil"/>
              <w:tr2bl w:val="nil"/>
            </w:tcBorders>
            <w:vAlign w:val="center"/>
          </w:tcPr>
          <w:p w14:paraId="71CBFF3C">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r w14:paraId="3CC6975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exact"/>
        </w:trPr>
        <w:tc>
          <w:tcPr>
            <w:tcW w:w="443" w:type="pct"/>
            <w:vMerge w:val="continue"/>
            <w:tcBorders>
              <w:tl2br w:val="nil"/>
              <w:tr2bl w:val="nil"/>
            </w:tcBorders>
            <w:vAlign w:val="center"/>
          </w:tcPr>
          <w:p w14:paraId="5752CF59">
            <w:pPr>
              <w:spacing w:line="360" w:lineRule="auto"/>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954" w:type="pct"/>
            <w:tcBorders>
              <w:tl2br w:val="nil"/>
              <w:tr2bl w:val="nil"/>
            </w:tcBorders>
            <w:vAlign w:val="center"/>
          </w:tcPr>
          <w:p w14:paraId="783717CB">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18"/>
                <w:szCs w:val="18"/>
                <w14:textFill>
                  <w14:solidFill>
                    <w14:schemeClr w14:val="tx1"/>
                  </w14:solidFill>
                </w14:textFill>
              </w:rPr>
              <w:t>单位地区生产总值二氧化碳排放降低(%)</w:t>
            </w:r>
          </w:p>
        </w:tc>
        <w:tc>
          <w:tcPr>
            <w:tcW w:w="615" w:type="pct"/>
            <w:tcBorders>
              <w:tl2br w:val="nil"/>
              <w:tr2bl w:val="nil"/>
            </w:tcBorders>
            <w:vAlign w:val="center"/>
          </w:tcPr>
          <w:p w14:paraId="4E733E49">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714" w:type="pct"/>
            <w:tcBorders>
              <w:tl2br w:val="nil"/>
              <w:tr2bl w:val="nil"/>
            </w:tcBorders>
            <w:vAlign w:val="center"/>
          </w:tcPr>
          <w:p w14:paraId="02BEE9F2">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79" w:type="pct"/>
            <w:tcBorders>
              <w:tl2br w:val="nil"/>
              <w:tr2bl w:val="nil"/>
            </w:tcBorders>
            <w:vAlign w:val="center"/>
          </w:tcPr>
          <w:p w14:paraId="5D151B11">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达到自治区要求</w:t>
            </w:r>
          </w:p>
        </w:tc>
        <w:tc>
          <w:tcPr>
            <w:tcW w:w="492" w:type="pct"/>
            <w:tcBorders>
              <w:tl2br w:val="nil"/>
              <w:tr2bl w:val="nil"/>
            </w:tcBorders>
            <w:vAlign w:val="center"/>
          </w:tcPr>
          <w:p w14:paraId="3BFC9450">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r w14:paraId="11AAAF6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exact"/>
        </w:trPr>
        <w:tc>
          <w:tcPr>
            <w:tcW w:w="443" w:type="pct"/>
            <w:vMerge w:val="continue"/>
            <w:tcBorders>
              <w:tl2br w:val="nil"/>
              <w:tr2bl w:val="nil"/>
            </w:tcBorders>
            <w:vAlign w:val="center"/>
          </w:tcPr>
          <w:p w14:paraId="3B07D874">
            <w:pPr>
              <w:spacing w:line="360" w:lineRule="auto"/>
              <w:ind w:firstLine="420"/>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954" w:type="pct"/>
            <w:tcBorders>
              <w:tl2br w:val="nil"/>
              <w:tr2bl w:val="nil"/>
            </w:tcBorders>
            <w:vAlign w:val="center"/>
          </w:tcPr>
          <w:p w14:paraId="5BE441F2">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18"/>
                <w:szCs w:val="18"/>
                <w14:textFill>
                  <w14:solidFill>
                    <w14:schemeClr w14:val="tx1"/>
                  </w14:solidFill>
                </w14:textFill>
              </w:rPr>
              <w:t>空气质量优良天数比率（%）</w:t>
            </w:r>
          </w:p>
        </w:tc>
        <w:tc>
          <w:tcPr>
            <w:tcW w:w="615" w:type="pct"/>
            <w:tcBorders>
              <w:tl2br w:val="nil"/>
              <w:tr2bl w:val="nil"/>
            </w:tcBorders>
            <w:vAlign w:val="center"/>
          </w:tcPr>
          <w:p w14:paraId="54F618A1">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92</w:t>
            </w:r>
          </w:p>
        </w:tc>
        <w:tc>
          <w:tcPr>
            <w:tcW w:w="714" w:type="pct"/>
            <w:tcBorders>
              <w:tl2br w:val="nil"/>
              <w:tr2bl w:val="nil"/>
            </w:tcBorders>
            <w:vAlign w:val="center"/>
          </w:tcPr>
          <w:p w14:paraId="1EF25356">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95</w:t>
            </w:r>
          </w:p>
        </w:tc>
        <w:tc>
          <w:tcPr>
            <w:tcW w:w="779" w:type="pct"/>
            <w:tcBorders>
              <w:tl2br w:val="nil"/>
              <w:tr2bl w:val="nil"/>
            </w:tcBorders>
            <w:vAlign w:val="center"/>
          </w:tcPr>
          <w:p w14:paraId="1EAE037F">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492" w:type="pct"/>
            <w:tcBorders>
              <w:tl2br w:val="nil"/>
              <w:tr2bl w:val="nil"/>
            </w:tcBorders>
            <w:vAlign w:val="center"/>
          </w:tcPr>
          <w:p w14:paraId="70304BB2">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r w14:paraId="68159EC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trPr>
        <w:tc>
          <w:tcPr>
            <w:tcW w:w="443" w:type="pct"/>
            <w:vMerge w:val="continue"/>
            <w:tcBorders>
              <w:tl2br w:val="nil"/>
              <w:tr2bl w:val="nil"/>
            </w:tcBorders>
            <w:vAlign w:val="center"/>
          </w:tcPr>
          <w:p w14:paraId="2BBB9367">
            <w:pPr>
              <w:spacing w:line="360" w:lineRule="auto"/>
              <w:ind w:firstLine="420"/>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954" w:type="pct"/>
            <w:tcBorders>
              <w:tl2br w:val="nil"/>
              <w:tr2bl w:val="nil"/>
            </w:tcBorders>
            <w:vAlign w:val="center"/>
          </w:tcPr>
          <w:p w14:paraId="2618AA50">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15.地表水</w:t>
            </w:r>
            <w:r>
              <w:rPr>
                <w:rFonts w:hint="eastAsia" w:asciiTheme="minorEastAsia" w:hAnsiTheme="minorEastAsia" w:eastAsiaTheme="minorEastAsia" w:cstheme="minorEastAsia"/>
                <w:color w:val="000000" w:themeColor="text1"/>
                <w:sz w:val="18"/>
                <w:szCs w:val="18"/>
                <w14:textFill>
                  <w14:solidFill>
                    <w14:schemeClr w14:val="tx1"/>
                  </w14:solidFill>
                </w14:textFill>
              </w:rPr>
              <w:t>达到或好于Ⅲ类水体比例（%）</w:t>
            </w:r>
          </w:p>
        </w:tc>
        <w:tc>
          <w:tcPr>
            <w:tcW w:w="615" w:type="pct"/>
            <w:tcBorders>
              <w:tl2br w:val="nil"/>
              <w:tr2bl w:val="nil"/>
            </w:tcBorders>
            <w:vAlign w:val="center"/>
          </w:tcPr>
          <w:p w14:paraId="2FC5E9F8">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100</w:t>
            </w:r>
          </w:p>
        </w:tc>
        <w:tc>
          <w:tcPr>
            <w:tcW w:w="714" w:type="pct"/>
            <w:tcBorders>
              <w:tl2br w:val="nil"/>
              <w:tr2bl w:val="nil"/>
            </w:tcBorders>
            <w:vAlign w:val="center"/>
          </w:tcPr>
          <w:p w14:paraId="54FC9950">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100</w:t>
            </w:r>
          </w:p>
        </w:tc>
        <w:tc>
          <w:tcPr>
            <w:tcW w:w="779" w:type="pct"/>
            <w:tcBorders>
              <w:tl2br w:val="nil"/>
              <w:tr2bl w:val="nil"/>
            </w:tcBorders>
            <w:vAlign w:val="center"/>
          </w:tcPr>
          <w:p w14:paraId="5F32445E">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492" w:type="pct"/>
            <w:tcBorders>
              <w:tl2br w:val="nil"/>
              <w:tr2bl w:val="nil"/>
            </w:tcBorders>
            <w:vAlign w:val="center"/>
          </w:tcPr>
          <w:p w14:paraId="00D5C6CC">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r w14:paraId="4002944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443" w:type="pct"/>
            <w:vMerge w:val="continue"/>
            <w:tcBorders>
              <w:tl2br w:val="nil"/>
              <w:tr2bl w:val="nil"/>
            </w:tcBorders>
            <w:vAlign w:val="center"/>
          </w:tcPr>
          <w:p w14:paraId="5CF04770">
            <w:pPr>
              <w:spacing w:line="360" w:lineRule="auto"/>
              <w:ind w:firstLine="420"/>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954" w:type="pct"/>
            <w:tcBorders>
              <w:tl2br w:val="nil"/>
              <w:tr2bl w:val="nil"/>
            </w:tcBorders>
            <w:vAlign w:val="center"/>
          </w:tcPr>
          <w:p w14:paraId="1D9A4E50">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18"/>
                <w:szCs w:val="18"/>
                <w14:textFill>
                  <w14:solidFill>
                    <w14:schemeClr w14:val="tx1"/>
                  </w14:solidFill>
                </w14:textFill>
              </w:rPr>
              <w:t>森林覆盖率（%）</w:t>
            </w:r>
          </w:p>
        </w:tc>
        <w:tc>
          <w:tcPr>
            <w:tcW w:w="615" w:type="pct"/>
            <w:tcBorders>
              <w:tl2br w:val="nil"/>
              <w:tr2bl w:val="nil"/>
            </w:tcBorders>
            <w:vAlign w:val="center"/>
          </w:tcPr>
          <w:p w14:paraId="012D63C3">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30.</w:t>
            </w:r>
            <w:r>
              <w:rPr>
                <w:rFonts w:hint="eastAsia" w:asciiTheme="minorEastAsia" w:hAnsiTheme="minorEastAsia" w:cstheme="minorEastAsia"/>
                <w:color w:val="000000" w:themeColor="text1"/>
                <w:sz w:val="18"/>
                <w:szCs w:val="18"/>
                <w:lang w:val="en-US" w:eastAsia="zh-CN"/>
                <w14:textFill>
                  <w14:solidFill>
                    <w14:schemeClr w14:val="tx1"/>
                  </w14:solidFill>
                </w14:textFill>
              </w:rPr>
              <w:t>3</w:t>
            </w:r>
          </w:p>
        </w:tc>
        <w:tc>
          <w:tcPr>
            <w:tcW w:w="714" w:type="pct"/>
            <w:tcBorders>
              <w:tl2br w:val="nil"/>
              <w:tr2bl w:val="nil"/>
            </w:tcBorders>
            <w:vAlign w:val="center"/>
          </w:tcPr>
          <w:p w14:paraId="7A16097F">
            <w:pPr>
              <w:spacing w:line="360" w:lineRule="auto"/>
              <w:jc w:val="both"/>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779" w:type="pct"/>
            <w:tcBorders>
              <w:tl2br w:val="nil"/>
              <w:tr2bl w:val="nil"/>
            </w:tcBorders>
            <w:vAlign w:val="center"/>
          </w:tcPr>
          <w:p w14:paraId="2369BD03">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p>
        </w:tc>
        <w:tc>
          <w:tcPr>
            <w:tcW w:w="492" w:type="pct"/>
            <w:tcBorders>
              <w:tl2br w:val="nil"/>
              <w:tr2bl w:val="nil"/>
            </w:tcBorders>
            <w:vAlign w:val="center"/>
          </w:tcPr>
          <w:p w14:paraId="0C90DE81">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r w14:paraId="49316DA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exact"/>
        </w:trPr>
        <w:tc>
          <w:tcPr>
            <w:tcW w:w="443" w:type="pct"/>
            <w:tcBorders>
              <w:tl2br w:val="nil"/>
              <w:tr2bl w:val="nil"/>
            </w:tcBorders>
            <w:vAlign w:val="center"/>
          </w:tcPr>
          <w:p w14:paraId="7BE8309E">
            <w:pPr>
              <w:spacing w:line="360" w:lineRule="auto"/>
              <w:jc w:val="both"/>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pPr>
            <w:r>
              <w:rPr>
                <w:rFonts w:hint="eastAsia" w:eastAsia="宋体" w:asciiTheme="minorEastAsia" w:hAnsiTheme="minorEastAsia" w:cstheme="minorEastAsia"/>
                <w:b/>
                <w:bCs/>
                <w:color w:val="000000" w:themeColor="text1"/>
                <w:kern w:val="2"/>
                <w:sz w:val="21"/>
                <w:szCs w:val="21"/>
                <w:lang w:val="en-US" w:eastAsia="zh-CN" w:bidi="ar-SA"/>
                <w14:textFill>
                  <w14:solidFill>
                    <w14:schemeClr w14:val="tx1"/>
                  </w14:solidFill>
                </w14:textFill>
              </w:rPr>
              <w:t>安全</w:t>
            </w:r>
          </w:p>
          <w:p w14:paraId="7F8F7DEE">
            <w:pPr>
              <w:pStyle w:val="2"/>
              <w:rPr>
                <w:rFonts w:hint="default"/>
                <w:lang w:val="en-US" w:eastAsia="zh-CN"/>
              </w:rPr>
            </w:pP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保障</w:t>
            </w:r>
          </w:p>
        </w:tc>
        <w:tc>
          <w:tcPr>
            <w:tcW w:w="1954" w:type="pct"/>
            <w:tcBorders>
              <w:tl2br w:val="nil"/>
              <w:tr2bl w:val="nil"/>
            </w:tcBorders>
            <w:vAlign w:val="center"/>
          </w:tcPr>
          <w:p w14:paraId="482D3118">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18"/>
                <w:szCs w:val="18"/>
                <w14:textFill>
                  <w14:solidFill>
                    <w14:schemeClr w14:val="tx1"/>
                  </w14:solidFill>
                </w14:textFill>
              </w:rPr>
              <w:t>粮食综合生产能力（亿斤）</w:t>
            </w:r>
          </w:p>
        </w:tc>
        <w:tc>
          <w:tcPr>
            <w:tcW w:w="615" w:type="pct"/>
            <w:tcBorders>
              <w:tl2br w:val="nil"/>
              <w:tr2bl w:val="nil"/>
            </w:tcBorders>
            <w:vAlign w:val="center"/>
          </w:tcPr>
          <w:p w14:paraId="6095ACF7">
            <w:pPr>
              <w:spacing w:line="360" w:lineRule="auto"/>
              <w:jc w:val="both"/>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w:t>
            </w:r>
          </w:p>
        </w:tc>
        <w:tc>
          <w:tcPr>
            <w:tcW w:w="714" w:type="pct"/>
            <w:tcBorders>
              <w:tl2br w:val="nil"/>
              <w:tr2bl w:val="nil"/>
            </w:tcBorders>
            <w:vAlign w:val="center"/>
          </w:tcPr>
          <w:p w14:paraId="2EAA38B9">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38</w:t>
            </w:r>
          </w:p>
        </w:tc>
        <w:tc>
          <w:tcPr>
            <w:tcW w:w="779" w:type="pct"/>
            <w:tcBorders>
              <w:tl2br w:val="nil"/>
              <w:tr2bl w:val="nil"/>
            </w:tcBorders>
            <w:vAlign w:val="center"/>
          </w:tcPr>
          <w:p w14:paraId="70C92836">
            <w:pPr>
              <w:spacing w:line="360" w:lineRule="auto"/>
              <w:jc w:val="both"/>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达到自治区要求</w:t>
            </w:r>
          </w:p>
        </w:tc>
        <w:tc>
          <w:tcPr>
            <w:tcW w:w="492" w:type="pct"/>
            <w:tcBorders>
              <w:tl2br w:val="nil"/>
              <w:tr2bl w:val="nil"/>
            </w:tcBorders>
            <w:vAlign w:val="center"/>
          </w:tcPr>
          <w:p w14:paraId="27589242">
            <w:pPr>
              <w:spacing w:line="360" w:lineRule="auto"/>
              <w:jc w:val="both"/>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约束性</w:t>
            </w:r>
          </w:p>
        </w:tc>
      </w:tr>
    </w:tbl>
    <w:p w14:paraId="20A8FC46">
      <w:pPr>
        <w:pageBreakBefore w:val="0"/>
        <w:numPr>
          <w:ilvl w:val="0"/>
          <w:numId w:val="1"/>
        </w:numPr>
        <w:kinsoku/>
        <w:wordWrap/>
        <w:overflowPunct/>
        <w:topLinePunct w:val="0"/>
        <w:bidi w:val="0"/>
        <w:snapToGrid/>
        <w:spacing w:line="600" w:lineRule="exact"/>
        <w:ind w:firstLine="720"/>
        <w:jc w:val="center"/>
        <w:textAlignment w:val="auto"/>
        <w:outlineLvl w:val="0"/>
        <w:rPr>
          <w:rFonts w:hint="eastAsia" w:ascii="黑体" w:hAnsi="黑体" w:eastAsia="黑体" w:cs="黑体"/>
          <w:b w:val="0"/>
          <w:bCs w:val="0"/>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br w:type="page"/>
      </w:r>
      <w:bookmarkStart w:id="22" w:name="_Toc61280850"/>
      <w:bookmarkStart w:id="23" w:name="_Toc16805"/>
      <w:r>
        <w:rPr>
          <w:rFonts w:hint="eastAsia" w:ascii="黑体" w:hAnsi="黑体" w:eastAsia="黑体" w:cs="黑体"/>
          <w:b w:val="0"/>
          <w:bCs w:val="0"/>
          <w:color w:val="000000" w:themeColor="text1"/>
          <w:sz w:val="36"/>
          <w:szCs w:val="36"/>
          <w14:textFill>
            <w14:solidFill>
              <w14:schemeClr w14:val="tx1"/>
            </w14:solidFill>
          </w14:textFill>
        </w:rPr>
        <w:t xml:space="preserve"> </w:t>
      </w:r>
      <w:bookmarkStart w:id="24" w:name="_Toc27935"/>
      <w:bookmarkStart w:id="25" w:name="_Toc16721_WPSOffice_Level1"/>
      <w:bookmarkStart w:id="26" w:name="_Toc15971"/>
      <w:r>
        <w:rPr>
          <w:rFonts w:hint="eastAsia" w:ascii="黑体" w:hAnsi="黑体" w:eastAsia="黑体" w:cs="黑体"/>
          <w:b w:val="0"/>
          <w:bCs w:val="0"/>
          <w:color w:val="000000" w:themeColor="text1"/>
          <w:sz w:val="36"/>
          <w:szCs w:val="36"/>
          <w14:textFill>
            <w14:solidFill>
              <w14:schemeClr w14:val="tx1"/>
            </w14:solidFill>
          </w14:textFill>
        </w:rPr>
        <w:t>坚持生态优先 构筑</w:t>
      </w:r>
      <w:bookmarkEnd w:id="22"/>
      <w:r>
        <w:rPr>
          <w:rFonts w:hint="eastAsia" w:ascii="黑体" w:hAnsi="黑体" w:eastAsia="黑体" w:cs="黑体"/>
          <w:b w:val="0"/>
          <w:bCs w:val="0"/>
          <w:color w:val="000000" w:themeColor="text1"/>
          <w:sz w:val="36"/>
          <w:szCs w:val="36"/>
          <w14:textFill>
            <w14:solidFill>
              <w14:schemeClr w14:val="tx1"/>
            </w14:solidFill>
          </w14:textFill>
        </w:rPr>
        <w:t>美丽扎赉特</w:t>
      </w:r>
      <w:bookmarkEnd w:id="23"/>
      <w:bookmarkEnd w:id="24"/>
      <w:bookmarkEnd w:id="25"/>
      <w:bookmarkEnd w:id="26"/>
    </w:p>
    <w:p w14:paraId="0CB5F395">
      <w:pPr>
        <w:pStyle w:val="2"/>
        <w:pageBreakBefore w:val="0"/>
        <w:numPr>
          <w:ilvl w:val="0"/>
          <w:numId w:val="0"/>
        </w:numPr>
        <w:kinsoku/>
        <w:wordWrap/>
        <w:overflowPunct/>
        <w:topLinePunct w:val="0"/>
        <w:bidi w:val="0"/>
        <w:snapToGrid/>
        <w:spacing w:line="600" w:lineRule="exact"/>
        <w:textAlignment w:val="auto"/>
        <w:rPr>
          <w:rFonts w:hint="eastAsia"/>
        </w:rPr>
      </w:pPr>
    </w:p>
    <w:p w14:paraId="5CA625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深入</w:t>
      </w:r>
      <w:r>
        <w:rPr>
          <w:rFonts w:hint="eastAsia" w:ascii="仿宋" w:hAnsi="仿宋" w:eastAsia="仿宋" w:cs="仿宋"/>
          <w:color w:val="000000" w:themeColor="text1"/>
          <w:sz w:val="32"/>
          <w:szCs w:val="32"/>
          <w:lang w:eastAsia="zh-CN"/>
          <w14:textFill>
            <w14:solidFill>
              <w14:schemeClr w14:val="tx1"/>
            </w14:solidFill>
          </w14:textFill>
        </w:rPr>
        <w:t>落实</w:t>
      </w:r>
      <w:r>
        <w:rPr>
          <w:rFonts w:hint="eastAsia" w:ascii="仿宋" w:hAnsi="仿宋" w:eastAsia="仿宋" w:cs="仿宋"/>
          <w:color w:val="000000" w:themeColor="text1"/>
          <w:sz w:val="32"/>
          <w:szCs w:val="32"/>
          <w14:textFill>
            <w14:solidFill>
              <w14:schemeClr w14:val="tx1"/>
            </w14:solidFill>
          </w14:textFill>
        </w:rPr>
        <w:t>习近平生态文明思想，践行绿水青山就是金山银山</w:t>
      </w:r>
      <w:r>
        <w:rPr>
          <w:rFonts w:hint="eastAsia" w:ascii="仿宋" w:hAnsi="仿宋" w:eastAsia="仿宋" w:cs="仿宋"/>
          <w:color w:val="000000" w:themeColor="text1"/>
          <w:sz w:val="32"/>
          <w:szCs w:val="32"/>
          <w:lang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理念，大力实施生态文明建设工程，发展绿色生态经济，建设绿色家园，构建旗域生态安全新格局，绝不以牺牲环境为代价换取一时经济增长，为构筑祖国北疆万里绿色长城作出更大贡献。</w:t>
      </w:r>
    </w:p>
    <w:p w14:paraId="5D05A1EA">
      <w:pPr>
        <w:pStyle w:val="4"/>
        <w:pageBreakBefore w:val="0"/>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27" w:name="_Toc61280851"/>
      <w:bookmarkStart w:id="28" w:name="_Toc22010"/>
      <w:bookmarkStart w:id="29" w:name="_Toc18195"/>
      <w:bookmarkStart w:id="30" w:name="_Toc24543"/>
      <w:r>
        <w:rPr>
          <w:rFonts w:hint="eastAsia" w:ascii="仿宋" w:hAnsi="仿宋" w:eastAsia="仿宋" w:cs="仿宋"/>
          <w:color w:val="000000" w:themeColor="text1"/>
          <w14:textFill>
            <w14:solidFill>
              <w14:schemeClr w14:val="tx1"/>
            </w14:solidFill>
          </w14:textFill>
        </w:rPr>
        <w:t>第一节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加强生态保护与</w:t>
      </w:r>
      <w:bookmarkEnd w:id="27"/>
      <w:r>
        <w:rPr>
          <w:rFonts w:hint="eastAsia" w:ascii="仿宋" w:hAnsi="仿宋" w:eastAsia="仿宋" w:cs="仿宋"/>
          <w:color w:val="000000" w:themeColor="text1"/>
          <w14:textFill>
            <w14:solidFill>
              <w14:schemeClr w14:val="tx1"/>
            </w14:solidFill>
          </w14:textFill>
        </w:rPr>
        <w:t>修复</w:t>
      </w:r>
      <w:bookmarkEnd w:id="28"/>
      <w:bookmarkEnd w:id="29"/>
      <w:bookmarkEnd w:id="30"/>
    </w:p>
    <w:p w14:paraId="798104C7">
      <w:pPr>
        <w:keepNext w:val="0"/>
        <w:keepLines w:val="0"/>
        <w:pageBreakBefore w:val="0"/>
        <w:widowControl w:val="0"/>
        <w:kinsoku/>
        <w:wordWrap/>
        <w:overflowPunct/>
        <w:topLinePunct w:val="0"/>
        <w:autoSpaceDN/>
        <w:bidi w:val="0"/>
        <w:adjustRightInd/>
        <w:snapToGrid/>
        <w:spacing w:line="600" w:lineRule="exact"/>
        <w:ind w:firstLine="643"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严格国土空间用途管控。</w:t>
      </w:r>
      <w:r>
        <w:rPr>
          <w:rFonts w:hint="eastAsia" w:ascii="仿宋" w:hAnsi="仿宋" w:eastAsia="仿宋" w:cs="仿宋"/>
          <w:color w:val="000000" w:themeColor="text1"/>
          <w:sz w:val="32"/>
          <w:szCs w:val="32"/>
          <w14:textFill>
            <w14:solidFill>
              <w14:schemeClr w14:val="tx1"/>
            </w14:solidFill>
          </w14:textFill>
        </w:rPr>
        <w:t>落实最严格的生态环境保护制度、耕地保护制度和节约用地制度，</w:t>
      </w:r>
      <w:r>
        <w:rPr>
          <w:rFonts w:eastAsia="仿宋_GB2312"/>
          <w:sz w:val="32"/>
          <w:szCs w:val="32"/>
        </w:rPr>
        <w:t>严守生态保护红线、永久基本农田、城镇开发边界</w:t>
      </w:r>
      <w:r>
        <w:rPr>
          <w:rFonts w:hint="eastAsia" w:eastAsia="仿宋_GB2312"/>
          <w:sz w:val="32"/>
          <w:szCs w:val="32"/>
        </w:rPr>
        <w:t>三条控制线</w:t>
      </w:r>
      <w:r>
        <w:rPr>
          <w:rFonts w:eastAsia="仿宋_GB2312"/>
          <w:sz w:val="32"/>
          <w:szCs w:val="32"/>
        </w:rPr>
        <w:t>，</w:t>
      </w:r>
      <w:r>
        <w:rPr>
          <w:rFonts w:hint="eastAsia" w:ascii="仿宋" w:hAnsi="仿宋" w:eastAsia="仿宋" w:cs="仿宋"/>
          <w:color w:val="000000" w:themeColor="text1"/>
          <w:sz w:val="32"/>
          <w:szCs w:val="32"/>
          <w14:textFill>
            <w14:solidFill>
              <w14:schemeClr w14:val="tx1"/>
            </w14:solidFill>
          </w14:textFill>
        </w:rPr>
        <w:t>明确</w:t>
      </w:r>
      <w:r>
        <w:rPr>
          <w:rFonts w:hint="eastAsia" w:ascii="仿宋" w:hAnsi="仿宋" w:eastAsia="仿宋" w:cs="仿宋"/>
          <w:b w:val="0"/>
          <w:bCs w:val="0"/>
          <w:color w:val="000000" w:themeColor="text1"/>
          <w:sz w:val="32"/>
          <w:szCs w:val="32"/>
          <w14:textFill>
            <w14:solidFill>
              <w14:schemeClr w14:val="tx1"/>
            </w14:solidFill>
          </w14:textFill>
        </w:rPr>
        <w:t>生态功能区、农畜产品主产区、城镇化地区</w:t>
      </w:r>
      <w:r>
        <w:rPr>
          <w:rFonts w:hint="eastAsia" w:ascii="仿宋" w:hAnsi="仿宋" w:eastAsia="仿宋" w:cs="仿宋"/>
          <w:color w:val="000000" w:themeColor="text1"/>
          <w:sz w:val="32"/>
          <w:szCs w:val="32"/>
          <w14:textFill>
            <w14:solidFill>
              <w14:schemeClr w14:val="tx1"/>
            </w14:solidFill>
          </w14:textFill>
        </w:rPr>
        <w:t>三大空间格局，加强重点生态功能区、生态环境敏感区和脆弱区保护力度。落实生态空间用途管制，建立实施“准入清单”和“负面清单”，加强生态保护红线分级分类管理，建立完善生态保护红线补偿机制。</w:t>
      </w:r>
      <w:r>
        <w:rPr>
          <w:rFonts w:hint="eastAsia" w:eastAsia="仿宋_GB2312"/>
          <w:sz w:val="32"/>
          <w:szCs w:val="32"/>
          <w:lang w:val="en-US" w:eastAsia="zh-CN"/>
        </w:rPr>
        <w:t>支持</w:t>
      </w:r>
      <w:r>
        <w:rPr>
          <w:rFonts w:eastAsia="仿宋_GB2312"/>
          <w:sz w:val="32"/>
          <w:szCs w:val="32"/>
        </w:rPr>
        <w:t>图牧吉</w:t>
      </w:r>
      <w:r>
        <w:rPr>
          <w:rFonts w:hint="eastAsia" w:eastAsia="仿宋_GB2312"/>
          <w:sz w:val="32"/>
          <w:szCs w:val="32"/>
          <w:lang w:val="en-US" w:eastAsia="zh-CN"/>
        </w:rPr>
        <w:t>等</w:t>
      </w:r>
      <w:r>
        <w:rPr>
          <w:rFonts w:hint="eastAsia" w:eastAsia="仿宋_GB2312"/>
          <w:sz w:val="32"/>
          <w:szCs w:val="32"/>
        </w:rPr>
        <w:t>生态重点地区农牧民易地安置和多渠道再就业</w:t>
      </w:r>
      <w:r>
        <w:rPr>
          <w:rFonts w:eastAsia="仿宋_GB2312"/>
          <w:sz w:val="32"/>
          <w:szCs w:val="32"/>
        </w:rPr>
        <w:t>，推进人口向城镇集中，工业向园区集中，农业向生产条件较好地区集中。</w:t>
      </w:r>
      <w:r>
        <w:rPr>
          <w:rFonts w:hint="eastAsia" w:eastAsia="仿宋_GB2312"/>
          <w:sz w:val="32"/>
          <w:szCs w:val="32"/>
        </w:rPr>
        <w:t>加强生态保护红线动态管理，提升</w:t>
      </w:r>
      <w:r>
        <w:rPr>
          <w:rFonts w:eastAsia="仿宋_GB2312"/>
          <w:sz w:val="32"/>
          <w:szCs w:val="32"/>
        </w:rPr>
        <w:t>智慧化、</w:t>
      </w:r>
      <w:r>
        <w:rPr>
          <w:rFonts w:hint="eastAsia" w:eastAsia="仿宋_GB2312"/>
          <w:sz w:val="32"/>
          <w:szCs w:val="32"/>
        </w:rPr>
        <w:t>精细化管理水平。</w:t>
      </w:r>
    </w:p>
    <w:p w14:paraId="6FE356A4">
      <w:pPr>
        <w:keepNext w:val="0"/>
        <w:keepLines w:val="0"/>
        <w:pageBreakBefore w:val="0"/>
        <w:kinsoku/>
        <w:wordWrap/>
        <w:overflowPunct/>
        <w:topLinePunct w:val="0"/>
        <w:autoSpaceDE w:val="0"/>
        <w:autoSpaceDN/>
        <w:bidi w:val="0"/>
        <w:adjustRightInd/>
        <w:snapToGrid/>
        <w:spacing w:line="600" w:lineRule="exact"/>
        <w:ind w:firstLine="643" w:firstLineChars="200"/>
        <w:jc w:val="both"/>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加强森林、草原、湿地生态系统保护与修复。</w:t>
      </w:r>
      <w:r>
        <w:rPr>
          <w:rFonts w:hint="eastAsia" w:eastAsia="仿宋_GB2312"/>
          <w:sz w:val="32"/>
          <w:szCs w:val="32"/>
        </w:rPr>
        <w:t>全力争取</w:t>
      </w:r>
      <w:r>
        <w:rPr>
          <w:rFonts w:eastAsia="仿宋_GB2312"/>
          <w:sz w:val="32"/>
          <w:szCs w:val="32"/>
        </w:rPr>
        <w:t>进入</w:t>
      </w:r>
      <w:r>
        <w:rPr>
          <w:rFonts w:hint="eastAsia" w:eastAsia="仿宋_GB2312"/>
          <w:sz w:val="32"/>
          <w:szCs w:val="32"/>
        </w:rPr>
        <w:t xml:space="preserve"> “东北森林带”和“北方防沙带”等全国生态系统保护修复重大工程。健全林草资源管护机制，全面推进“林草长制”</w:t>
      </w:r>
      <w:r>
        <w:rPr>
          <w:rFonts w:eastAsia="仿宋_GB2312"/>
          <w:sz w:val="32"/>
          <w:szCs w:val="32"/>
        </w:rPr>
        <w:t>，</w:t>
      </w:r>
      <w:r>
        <w:rPr>
          <w:rFonts w:hint="eastAsia" w:eastAsia="仿宋_GB2312"/>
          <w:sz w:val="32"/>
          <w:szCs w:val="32"/>
        </w:rPr>
        <w:t>构建起党政齐抓共管、部门联动配合、职责</w:t>
      </w:r>
      <w:r>
        <w:rPr>
          <w:rFonts w:hint="eastAsia" w:ascii="仿宋_GB2312" w:eastAsia="仿宋_GB2312"/>
          <w:sz w:val="32"/>
          <w:szCs w:val="32"/>
        </w:rPr>
        <w:t>分工明确、监管全域覆盖的森林草原</w:t>
      </w:r>
      <w:r>
        <w:rPr>
          <w:rFonts w:hint="eastAsia" w:ascii="仿宋_GB2312" w:eastAsia="仿宋_GB2312"/>
          <w:sz w:val="32"/>
          <w:szCs w:val="32"/>
          <w:lang w:val="en-US" w:eastAsia="zh-CN"/>
        </w:rPr>
        <w:t>湿地生态系统</w:t>
      </w:r>
      <w:r>
        <w:rPr>
          <w:rFonts w:hint="eastAsia" w:ascii="仿宋_GB2312" w:eastAsia="仿宋_GB2312"/>
          <w:sz w:val="32"/>
          <w:szCs w:val="32"/>
        </w:rPr>
        <w:t>保护体系。严格落实天然林禁伐措施，</w:t>
      </w:r>
      <w:r>
        <w:rPr>
          <w:rFonts w:hint="eastAsia" w:ascii="仿宋" w:hAnsi="仿宋" w:eastAsia="仿宋" w:cs="仿宋"/>
          <w:color w:val="000000" w:themeColor="text1"/>
          <w:sz w:val="32"/>
          <w:szCs w:val="32"/>
          <w14:textFill>
            <w14:solidFill>
              <w14:schemeClr w14:val="tx1"/>
            </w14:solidFill>
          </w14:textFill>
        </w:rPr>
        <w:t>认真实施好天然林资源保护、公益林生态效益补偿等工程项目，实施林业生态建设90万亩，其中</w:t>
      </w:r>
      <w:r>
        <w:rPr>
          <w:rFonts w:hint="eastAsia" w:ascii="仿宋" w:hAnsi="仿宋" w:eastAsia="仿宋" w:cs="仿宋"/>
          <w:color w:val="000000" w:themeColor="text1"/>
          <w:spacing w:val="10"/>
          <w:kern w:val="0"/>
          <w:sz w:val="32"/>
          <w:szCs w:val="32"/>
          <w14:textFill>
            <w14:solidFill>
              <w14:schemeClr w14:val="tx1"/>
            </w14:solidFill>
          </w14:textFill>
        </w:rPr>
        <w:t>营造林60万亩，森林抚育30万亩，</w:t>
      </w:r>
      <w:r>
        <w:rPr>
          <w:rFonts w:hint="eastAsia" w:ascii="仿宋" w:hAnsi="仿宋" w:eastAsia="仿宋" w:cs="仿宋"/>
          <w:color w:val="000000" w:themeColor="text1"/>
          <w:spacing w:val="10"/>
          <w:kern w:val="0"/>
          <w:sz w:val="32"/>
          <w:szCs w:val="32"/>
          <w:lang w:eastAsia="zh-CN"/>
          <w14:textFill>
            <w14:solidFill>
              <w14:schemeClr w14:val="tx1"/>
            </w14:solidFill>
          </w14:textFill>
        </w:rPr>
        <w:t>“</w:t>
      </w:r>
      <w:r>
        <w:rPr>
          <w:rFonts w:hint="eastAsia" w:ascii="仿宋_GB2312" w:eastAsia="仿宋_GB2312"/>
          <w:sz w:val="32"/>
          <w:szCs w:val="32"/>
          <w:lang w:val="en-US" w:eastAsia="zh-CN"/>
        </w:rPr>
        <w:t>十四五”时期，</w:t>
      </w:r>
      <w:r>
        <w:rPr>
          <w:rFonts w:hint="eastAsia" w:ascii="仿宋" w:hAnsi="仿宋" w:eastAsia="仿宋" w:cs="仿宋"/>
          <w:color w:val="000000" w:themeColor="text1"/>
          <w:spacing w:val="10"/>
          <w:kern w:val="0"/>
          <w:sz w:val="32"/>
          <w:szCs w:val="32"/>
          <w14:textFill>
            <w14:solidFill>
              <w14:schemeClr w14:val="tx1"/>
            </w14:solidFill>
          </w14:textFill>
        </w:rPr>
        <w:t>森林覆盖率增加2.</w:t>
      </w:r>
      <w:r>
        <w:rPr>
          <w:rFonts w:hint="eastAsia" w:ascii="仿宋" w:hAnsi="仿宋" w:eastAsia="仿宋" w:cs="仿宋"/>
          <w:color w:val="000000" w:themeColor="text1"/>
          <w:spacing w:val="10"/>
          <w:kern w:val="0"/>
          <w:sz w:val="32"/>
          <w:szCs w:val="32"/>
          <w:lang w:val="en-US" w:eastAsia="zh-CN"/>
          <w14:textFill>
            <w14:solidFill>
              <w14:schemeClr w14:val="tx1"/>
            </w14:solidFill>
          </w14:textFill>
        </w:rPr>
        <w:t>1</w:t>
      </w:r>
      <w:r>
        <w:rPr>
          <w:rFonts w:hint="eastAsia" w:ascii="仿宋" w:hAnsi="仿宋" w:eastAsia="仿宋" w:cs="仿宋"/>
          <w:color w:val="000000" w:themeColor="text1"/>
          <w:spacing w:val="10"/>
          <w:kern w:val="0"/>
          <w:sz w:val="32"/>
          <w:szCs w:val="32"/>
          <w14:textFill>
            <w14:solidFill>
              <w14:schemeClr w14:val="tx1"/>
            </w14:solidFill>
          </w14:textFill>
        </w:rPr>
        <w:t>个百分点。</w:t>
      </w:r>
      <w:r>
        <w:rPr>
          <w:rFonts w:hint="eastAsia" w:ascii="仿宋_GB2312" w:eastAsia="仿宋_GB2312"/>
          <w:b w:val="0"/>
          <w:bCs w:val="0"/>
          <w:sz w:val="32"/>
          <w:szCs w:val="32"/>
        </w:rPr>
        <w:t>加强森林经营抚育管理，培育高质量活立木资源，做好低产林、退化林改造工作，提高林木质量。</w:t>
      </w:r>
      <w:r>
        <w:rPr>
          <w:rFonts w:hint="eastAsia" w:eastAsia="仿宋_GB2312"/>
          <w:b w:val="0"/>
          <w:bCs w:val="0"/>
          <w:sz w:val="32"/>
          <w:szCs w:val="32"/>
        </w:rPr>
        <w:t>严格执行林木采伐限额管理制度，</w:t>
      </w:r>
      <w:r>
        <w:rPr>
          <w:rFonts w:eastAsia="仿宋_GB2312"/>
          <w:b w:val="0"/>
          <w:bCs w:val="0"/>
          <w:sz w:val="32"/>
          <w:szCs w:val="32"/>
        </w:rPr>
        <w:t>确保</w:t>
      </w:r>
      <w:r>
        <w:rPr>
          <w:rFonts w:hint="eastAsia" w:eastAsia="仿宋_GB2312"/>
          <w:b w:val="0"/>
          <w:bCs w:val="0"/>
          <w:sz w:val="32"/>
          <w:szCs w:val="32"/>
        </w:rPr>
        <w:t>采伐类型、消耗结构、林</w:t>
      </w:r>
      <w:r>
        <w:rPr>
          <w:rFonts w:hint="eastAsia" w:ascii="仿宋_GB2312" w:eastAsia="仿宋_GB2312"/>
          <w:b w:val="0"/>
          <w:bCs w:val="0"/>
          <w:sz w:val="32"/>
          <w:szCs w:val="32"/>
        </w:rPr>
        <w:t>种等各项指标控制在限额范围之内。</w:t>
      </w:r>
      <w:r>
        <w:rPr>
          <w:rFonts w:hint="eastAsia" w:ascii="仿宋" w:hAnsi="仿宋" w:eastAsia="仿宋" w:cs="仿宋"/>
          <w:b w:val="0"/>
          <w:bCs w:val="0"/>
          <w:color w:val="000000" w:themeColor="text1"/>
          <w:sz w:val="32"/>
          <w:szCs w:val="32"/>
          <w14:textFill>
            <w14:solidFill>
              <w14:schemeClr w14:val="tx1"/>
            </w14:solidFill>
          </w14:textFill>
        </w:rPr>
        <w:t>完善森林草原火险监测预警体系、动植物检疫御灾体系，建立健全有害生物监测预警和防治减灾体系。</w:t>
      </w:r>
      <w:r>
        <w:rPr>
          <w:rFonts w:hint="eastAsia" w:ascii="仿宋" w:hAnsi="仿宋" w:eastAsia="仿宋" w:cs="仿宋"/>
          <w:color w:val="000000" w:themeColor="text1"/>
          <w:sz w:val="32"/>
          <w:szCs w:val="32"/>
          <w14:textFill>
            <w14:solidFill>
              <w14:schemeClr w14:val="tx1"/>
            </w14:solidFill>
          </w14:textFill>
        </w:rPr>
        <w:t>严格落实禁牧措施，重点林区、生态脆弱区实行常年禁牧，其它区域实行休牧和划区轮牧，促进林草植被休养生息，</w:t>
      </w:r>
      <w:r>
        <w:rPr>
          <w:rFonts w:hint="eastAsia" w:ascii="仿宋" w:hAnsi="仿宋" w:eastAsia="仿宋" w:cs="仿宋"/>
          <w:b w:val="0"/>
          <w:bCs w:val="0"/>
          <w:color w:val="000000" w:themeColor="text1"/>
          <w:sz w:val="32"/>
          <w:szCs w:val="32"/>
          <w14:textFill>
            <w14:solidFill>
              <w14:schemeClr w14:val="tx1"/>
            </w14:solidFill>
          </w14:textFill>
        </w:rPr>
        <w:t>切实抓好征占用林地和草原管理。</w:t>
      </w:r>
      <w:r>
        <w:rPr>
          <w:rFonts w:hint="eastAsia" w:ascii="仿宋" w:hAnsi="仿宋" w:eastAsia="仿宋" w:cs="仿宋"/>
          <w:color w:val="000000" w:themeColor="text1"/>
          <w:sz w:val="32"/>
          <w:szCs w:val="32"/>
          <w14:textFill>
            <w14:solidFill>
              <w14:schemeClr w14:val="tx1"/>
            </w14:solidFill>
          </w14:textFill>
        </w:rPr>
        <w:t>探索建立草原保护与修复长效机制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加强草原动态监测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对土壤、植被条件较好的天然草原，实施补播、除杂等综合措施，培育优质草牧场资源。</w:t>
      </w:r>
      <w:r>
        <w:rPr>
          <w:rFonts w:hint="eastAsia" w:ascii="仿宋" w:hAnsi="仿宋" w:eastAsia="仿宋" w:cs="仿宋"/>
          <w:color w:val="000000" w:themeColor="text1"/>
          <w:spacing w:val="10"/>
          <w:kern w:val="0"/>
          <w:sz w:val="32"/>
          <w:szCs w:val="32"/>
          <w14:textFill>
            <w14:solidFill>
              <w14:schemeClr w14:val="tx1"/>
            </w14:solidFill>
          </w14:textFill>
        </w:rPr>
        <w:t>实施草原生态建设</w:t>
      </w:r>
      <w:r>
        <w:rPr>
          <w:rFonts w:hint="eastAsia" w:ascii="仿宋" w:hAnsi="仿宋" w:eastAsia="仿宋" w:cs="仿宋"/>
          <w:color w:val="000000" w:themeColor="text1"/>
          <w:spacing w:val="10"/>
          <w:kern w:val="0"/>
          <w:sz w:val="32"/>
          <w:szCs w:val="32"/>
          <w:lang w:eastAsia="zh-CN"/>
          <w14:textFill>
            <w14:solidFill>
              <w14:schemeClr w14:val="tx1"/>
            </w14:solidFill>
          </w14:textFill>
        </w:rPr>
        <w:t>工程</w:t>
      </w:r>
      <w:r>
        <w:rPr>
          <w:rFonts w:hint="eastAsia" w:ascii="仿宋" w:hAnsi="仿宋" w:eastAsia="仿宋" w:cs="仿宋"/>
          <w:color w:val="000000" w:themeColor="text1"/>
          <w:spacing w:val="10"/>
          <w:kern w:val="0"/>
          <w:sz w:val="32"/>
          <w:szCs w:val="32"/>
          <w:lang w:val="en-US" w:eastAsia="zh-CN"/>
          <w14:textFill>
            <w14:solidFill>
              <w14:schemeClr w14:val="tx1"/>
            </w14:solidFill>
          </w14:textFill>
        </w:rPr>
        <w:t>6</w:t>
      </w:r>
      <w:r>
        <w:rPr>
          <w:rFonts w:hint="eastAsia" w:ascii="仿宋" w:hAnsi="仿宋" w:eastAsia="仿宋" w:cs="仿宋"/>
          <w:color w:val="000000" w:themeColor="text1"/>
          <w:spacing w:val="10"/>
          <w:kern w:val="0"/>
          <w:sz w:val="32"/>
          <w:szCs w:val="32"/>
          <w14:textFill>
            <w14:solidFill>
              <w14:schemeClr w14:val="tx1"/>
            </w14:solidFill>
          </w14:textFill>
        </w:rPr>
        <w:t>0万亩，其中草原</w:t>
      </w:r>
      <w:r>
        <w:rPr>
          <w:rFonts w:hint="eastAsia" w:ascii="仿宋" w:hAnsi="仿宋" w:eastAsia="仿宋" w:cs="仿宋"/>
          <w:color w:val="000000" w:themeColor="text1"/>
          <w:spacing w:val="10"/>
          <w:kern w:val="0"/>
          <w:sz w:val="32"/>
          <w:szCs w:val="32"/>
          <w:lang w:eastAsia="zh-CN"/>
          <w14:textFill>
            <w14:solidFill>
              <w14:schemeClr w14:val="tx1"/>
            </w14:solidFill>
          </w14:textFill>
        </w:rPr>
        <w:t>植被恢复</w:t>
      </w:r>
      <w:r>
        <w:rPr>
          <w:rFonts w:hint="eastAsia" w:ascii="仿宋" w:hAnsi="仿宋" w:eastAsia="仿宋" w:cs="仿宋"/>
          <w:color w:val="000000" w:themeColor="text1"/>
          <w:spacing w:val="10"/>
          <w:kern w:val="0"/>
          <w:sz w:val="32"/>
          <w:szCs w:val="32"/>
          <w:lang w:val="en-US" w:eastAsia="zh-CN"/>
          <w14:textFill>
            <w14:solidFill>
              <w14:schemeClr w14:val="tx1"/>
            </w14:solidFill>
          </w14:textFill>
        </w:rPr>
        <w:t>47.5</w:t>
      </w:r>
      <w:r>
        <w:rPr>
          <w:rFonts w:hint="eastAsia" w:ascii="仿宋" w:hAnsi="仿宋" w:eastAsia="仿宋" w:cs="仿宋"/>
          <w:color w:val="000000" w:themeColor="text1"/>
          <w:spacing w:val="10"/>
          <w:kern w:val="0"/>
          <w:sz w:val="32"/>
          <w:szCs w:val="32"/>
          <w14:textFill>
            <w14:solidFill>
              <w14:schemeClr w14:val="tx1"/>
            </w14:solidFill>
          </w14:textFill>
        </w:rPr>
        <w:t>万亩，</w:t>
      </w:r>
      <w:r>
        <w:rPr>
          <w:rFonts w:hint="eastAsia" w:ascii="仿宋" w:hAnsi="仿宋" w:eastAsia="仿宋" w:cs="仿宋"/>
          <w:color w:val="000000" w:themeColor="text1"/>
          <w:spacing w:val="10"/>
          <w:kern w:val="0"/>
          <w:sz w:val="32"/>
          <w:szCs w:val="32"/>
          <w:lang w:eastAsia="zh-CN"/>
          <w14:textFill>
            <w14:solidFill>
              <w14:schemeClr w14:val="tx1"/>
            </w14:solidFill>
          </w14:textFill>
        </w:rPr>
        <w:t>退牧还草</w:t>
      </w:r>
      <w:r>
        <w:rPr>
          <w:rFonts w:hint="eastAsia" w:ascii="仿宋" w:hAnsi="仿宋" w:eastAsia="仿宋" w:cs="仿宋"/>
          <w:color w:val="000000" w:themeColor="text1"/>
          <w:spacing w:val="10"/>
          <w:kern w:val="0"/>
          <w:sz w:val="32"/>
          <w:szCs w:val="32"/>
          <w:lang w:val="en-US" w:eastAsia="zh-CN"/>
          <w14:textFill>
            <w14:solidFill>
              <w14:schemeClr w14:val="tx1"/>
            </w14:solidFill>
          </w14:textFill>
        </w:rPr>
        <w:t>12.5</w:t>
      </w:r>
      <w:r>
        <w:rPr>
          <w:rFonts w:hint="eastAsia" w:ascii="仿宋" w:hAnsi="仿宋" w:eastAsia="仿宋" w:cs="仿宋"/>
          <w:color w:val="000000" w:themeColor="text1"/>
          <w:spacing w:val="10"/>
          <w:kern w:val="0"/>
          <w:sz w:val="32"/>
          <w:szCs w:val="32"/>
          <w14:textFill>
            <w14:solidFill>
              <w14:schemeClr w14:val="tx1"/>
            </w14:solidFill>
          </w14:textFill>
        </w:rPr>
        <w:t>万亩。</w:t>
      </w:r>
      <w:r>
        <w:rPr>
          <w:rFonts w:hint="eastAsia" w:ascii="仿宋" w:hAnsi="仿宋" w:eastAsia="仿宋" w:cs="仿宋"/>
          <w:b w:val="0"/>
          <w:bCs w:val="0"/>
          <w:color w:val="000000" w:themeColor="text1"/>
          <w:sz w:val="32"/>
          <w:szCs w:val="32"/>
          <w14:textFill>
            <w14:solidFill>
              <w14:schemeClr w14:val="tx1"/>
            </w14:solidFill>
          </w14:textFill>
        </w:rPr>
        <w:t>实施河湖、湿地补水工程，恢复和增强草原、湿地生态功能。</w:t>
      </w:r>
    </w:p>
    <w:p w14:paraId="3DF7C469">
      <w:pPr>
        <w:keepNext w:val="0"/>
        <w:keepLines w:val="0"/>
        <w:pageBreakBefore w:val="0"/>
        <w:kinsoku/>
        <w:wordWrap/>
        <w:overflowPunct/>
        <w:topLinePunct w:val="0"/>
        <w:autoSpaceDN/>
        <w:bidi w:val="0"/>
        <w:adjustRightInd/>
        <w:snapToGrid/>
        <w:spacing w:line="600" w:lineRule="exact"/>
        <w:ind w:firstLine="643" w:firstLineChars="200"/>
        <w:textAlignment w:val="auto"/>
        <w:outlineLvl w:val="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切实加强水资源保护。</w:t>
      </w:r>
      <w:r>
        <w:rPr>
          <w:rFonts w:hint="eastAsia" w:ascii="仿宋" w:hAnsi="仿宋" w:eastAsia="仿宋" w:cs="仿宋"/>
          <w:color w:val="000000" w:themeColor="text1"/>
          <w:sz w:val="32"/>
          <w:szCs w:val="32"/>
          <w14:textFill>
            <w14:solidFill>
              <w14:schemeClr w14:val="tx1"/>
            </w14:solidFill>
          </w14:textFill>
        </w:rPr>
        <w:t>强化水资源“三条红线”管控，坚持以水定城、以水定地、以水定人、以水定产、以水定牧，全力做好河湖管护工作。加大自然保护地内的退耕还林、还草、还</w:t>
      </w:r>
      <w:r>
        <w:rPr>
          <w:rFonts w:hint="eastAsia" w:ascii="仿宋" w:hAnsi="仿宋" w:eastAsia="仿宋" w:cs="仿宋"/>
          <w:color w:val="000000" w:themeColor="text1"/>
          <w:sz w:val="32"/>
          <w:szCs w:val="32"/>
          <w:lang w:eastAsia="zh-CN"/>
          <w14:textFill>
            <w14:solidFill>
              <w14:schemeClr w14:val="tx1"/>
            </w14:solidFill>
          </w14:textFill>
        </w:rPr>
        <w:t>湿</w:t>
      </w:r>
      <w:r>
        <w:rPr>
          <w:rFonts w:hint="eastAsia" w:ascii="仿宋" w:hAnsi="仿宋" w:eastAsia="仿宋" w:cs="仿宋"/>
          <w:color w:val="000000" w:themeColor="text1"/>
          <w:sz w:val="32"/>
          <w:szCs w:val="32"/>
          <w14:textFill>
            <w14:solidFill>
              <w14:schemeClr w14:val="tx1"/>
            </w14:solidFill>
          </w14:textFill>
        </w:rPr>
        <w:t>力度，实施湿地堤岸生态化改造、乡土植物种植、鱼类调控等修复工程，重建湿地植被群落，恢复湖泊、泡子和河流原生态。</w:t>
      </w:r>
    </w:p>
    <w:p w14:paraId="088B73FB">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强化水土流失综合治理</w:t>
      </w:r>
      <w:r>
        <w:rPr>
          <w:rFonts w:hint="eastAsia" w:ascii="仿宋" w:hAnsi="仿宋" w:eastAsia="仿宋" w:cs="仿宋"/>
          <w:color w:val="000000" w:themeColor="text1"/>
          <w:sz w:val="32"/>
          <w:szCs w:val="32"/>
          <w14:textFill>
            <w14:solidFill>
              <w14:schemeClr w14:val="tx1"/>
            </w14:solidFill>
          </w14:textFill>
        </w:rPr>
        <w:t>。综合集中整治坡耕地、侵蚀沟道，加大中型灌区改造、重要支流治理力度。大力开展侵蚀沟沿线农田林网化和河沟坡植被建设，提高土地水源涵养和水土保持能力。综合治理巴彦乌兰苏木、巴达尔胡镇、新林镇、巴彦高勒镇、宝力根花苏木等</w:t>
      </w:r>
      <w:r>
        <w:rPr>
          <w:rFonts w:hint="eastAsia" w:ascii="仿宋" w:hAnsi="仿宋" w:eastAsia="仿宋" w:cs="仿宋"/>
          <w:color w:val="000000" w:themeColor="text1"/>
          <w:sz w:val="32"/>
          <w:szCs w:val="32"/>
          <w:lang w:val="en-US" w:eastAsia="zh-CN"/>
          <w14:textFill>
            <w14:solidFill>
              <w14:schemeClr w14:val="tx1"/>
            </w14:solidFill>
          </w14:textFill>
        </w:rPr>
        <w:t>地</w:t>
      </w:r>
      <w:r>
        <w:rPr>
          <w:rFonts w:hint="eastAsia" w:ascii="仿宋" w:hAnsi="仿宋" w:eastAsia="仿宋" w:cs="仿宋"/>
          <w:color w:val="000000" w:themeColor="text1"/>
          <w:sz w:val="32"/>
          <w:szCs w:val="32"/>
          <w14:textFill>
            <w14:solidFill>
              <w14:schemeClr w14:val="tx1"/>
            </w14:solidFill>
          </w14:textFill>
        </w:rPr>
        <w:t>水土严重流失</w:t>
      </w:r>
      <w:r>
        <w:rPr>
          <w:rFonts w:hint="eastAsia" w:ascii="仿宋" w:hAnsi="仿宋" w:eastAsia="仿宋" w:cs="仿宋"/>
          <w:color w:val="000000" w:themeColor="text1"/>
          <w:sz w:val="32"/>
          <w:szCs w:val="32"/>
          <w:lang w:val="en-US" w:eastAsia="zh-CN"/>
          <w14:textFill>
            <w14:solidFill>
              <w14:schemeClr w14:val="tx1"/>
            </w14:solidFill>
          </w14:textFill>
        </w:rPr>
        <w:t>问题，治理面积</w:t>
      </w:r>
      <w:r>
        <w:rPr>
          <w:rFonts w:hint="eastAsia" w:ascii="仿宋" w:hAnsi="仿宋" w:eastAsia="仿宋" w:cs="仿宋"/>
          <w:color w:val="000000" w:themeColor="text1"/>
          <w:sz w:val="32"/>
          <w:szCs w:val="32"/>
          <w14:textFill>
            <w14:solidFill>
              <w14:schemeClr w14:val="tx1"/>
            </w14:solidFill>
          </w14:textFill>
        </w:rPr>
        <w:t>300平方公里；综合治理巴彦乌兰苏木、巴达尔胡镇、新林镇、巴彦高勒镇、巴彦扎拉嘎乡、胡尔勒镇、阿拉达尔吐苏木等地侵蚀沟731条；综合治理巴彦乌兰苏木、巴达尔胡镇、阿尔本格勒镇、巴彦高勒镇、胡尔勒镇等地危害严重的山洪沟150公里。</w:t>
      </w:r>
    </w:p>
    <w:p w14:paraId="18C86828">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加强矿山环境保护与修复。</w:t>
      </w:r>
      <w:r>
        <w:rPr>
          <w:rFonts w:hint="eastAsia" w:ascii="仿宋" w:hAnsi="仿宋" w:eastAsia="仿宋" w:cs="仿宋"/>
          <w:color w:val="000000" w:themeColor="text1"/>
          <w:sz w:val="34"/>
          <w:szCs w:val="34"/>
          <w14:textFill>
            <w14:solidFill>
              <w14:schemeClr w14:val="tx1"/>
            </w14:solidFill>
          </w14:textFill>
        </w:rPr>
        <w:t>做</w:t>
      </w:r>
      <w:r>
        <w:rPr>
          <w:rFonts w:hint="eastAsia" w:ascii="仿宋" w:hAnsi="仿宋" w:eastAsia="仿宋" w:cs="仿宋"/>
          <w:color w:val="000000" w:themeColor="text1"/>
          <w:sz w:val="32"/>
          <w:szCs w:val="32"/>
          <w14:textFill>
            <w14:solidFill>
              <w14:schemeClr w14:val="tx1"/>
            </w14:solidFill>
          </w14:textFill>
        </w:rPr>
        <w:t>好关闭露采矿山的恢复治理工作，恢复植被。因地制宜编制绿色矿山建设发展规划，按照规划积极推进各项工作，实现绿色矿山建设目标，矿山环境得到有效保护，矿区土地复垦水平全面提升。力争到2025年，全旗现有的废弃矿坑、矿山基本完成生态恢复治理，在建和生产矿山全部达到绿色矿山标准。</w:t>
      </w:r>
    </w:p>
    <w:p w14:paraId="777F924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持续强化野生动植物保护。</w:t>
      </w:r>
      <w:r>
        <w:rPr>
          <w:rFonts w:hint="eastAsia" w:ascii="仿宋" w:hAnsi="仿宋" w:eastAsia="仿宋" w:cs="仿宋"/>
          <w:color w:val="000000" w:themeColor="text1"/>
          <w:sz w:val="32"/>
          <w:szCs w:val="32"/>
          <w14:textFill>
            <w14:solidFill>
              <w14:schemeClr w14:val="tx1"/>
            </w14:solidFill>
          </w14:textFill>
        </w:rPr>
        <w:t>加大对国家、自治区级和“三有”野生动物的保护力度，建设野生动物收容救护站，加强野生动物疫源疫病监测，提供多样的野生动物栖息环境，促进野生动物生存和繁衍。严格规范野生动物养殖和经营利用。加强保护古树，稀有树木、名贵树木、以及具有历史价值和纪念意义树木。加大野生动植物保护宣传教育力度，严厉打击破坏野生动植物资源的违法犯罪行为。</w:t>
      </w:r>
    </w:p>
    <w:p w14:paraId="4C8DB851">
      <w:pPr>
        <w:pStyle w:val="4"/>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14:textFill>
            <w14:solidFill>
              <w14:schemeClr w14:val="tx1"/>
            </w14:solidFill>
          </w14:textFill>
        </w:rPr>
      </w:pPr>
      <w:bookmarkStart w:id="31" w:name="_Toc31282"/>
      <w:bookmarkStart w:id="32" w:name="_Toc61280852"/>
      <w:bookmarkStart w:id="33" w:name="_Toc2955"/>
      <w:bookmarkStart w:id="34" w:name="_Toc14080"/>
      <w:r>
        <w:rPr>
          <w:rFonts w:hint="eastAsia" w:ascii="仿宋" w:hAnsi="仿宋" w:eastAsia="仿宋" w:cs="仿宋"/>
          <w:color w:val="000000" w:themeColor="text1"/>
          <w14:textFill>
            <w14:solidFill>
              <w14:schemeClr w14:val="tx1"/>
            </w14:solidFill>
          </w14:textFill>
        </w:rPr>
        <w:t xml:space="preserve">第二节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强化三大国家级自然保护地保护与治理</w:t>
      </w:r>
      <w:bookmarkEnd w:id="31"/>
      <w:bookmarkEnd w:id="32"/>
      <w:bookmarkEnd w:id="33"/>
      <w:bookmarkEnd w:id="34"/>
    </w:p>
    <w:p w14:paraId="02432895">
      <w:pPr>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 w:hAnsi="仿宋" w:eastAsia="仿宋" w:cs="仿宋"/>
          <w:color w:val="000000" w:themeColor="text1"/>
          <w:sz w:val="32"/>
          <w:szCs w:val="32"/>
          <w:lang w:bidi="ar"/>
          <w14:textFill>
            <w14:solidFill>
              <w14:schemeClr w14:val="tx1"/>
            </w14:solidFill>
          </w14:textFill>
        </w:rPr>
      </w:pPr>
      <w:bookmarkStart w:id="35" w:name="_Toc61280853"/>
      <w:r>
        <w:rPr>
          <w:rFonts w:hint="eastAsia" w:ascii="仿宋" w:hAnsi="仿宋" w:eastAsia="仿宋" w:cs="仿宋"/>
          <w:b/>
          <w:bCs/>
          <w:color w:val="000000" w:themeColor="text1"/>
          <w:sz w:val="32"/>
          <w:szCs w:val="32"/>
          <w:lang w:bidi="ar"/>
          <w14:textFill>
            <w14:solidFill>
              <w14:schemeClr w14:val="tx1"/>
            </w14:solidFill>
          </w14:textFill>
        </w:rPr>
        <w:t>加大绰尔托欣河国家湿地公园保护</w:t>
      </w:r>
      <w:r>
        <w:rPr>
          <w:rFonts w:hint="eastAsia" w:ascii="仿宋" w:hAnsi="仿宋" w:eastAsia="仿宋" w:cs="仿宋"/>
          <w:b/>
          <w:bCs/>
          <w:color w:val="000000" w:themeColor="text1"/>
          <w:sz w:val="32"/>
          <w:szCs w:val="32"/>
          <w:lang w:val="en-US" w:eastAsia="zh-CN" w:bidi="ar"/>
          <w14:textFill>
            <w14:solidFill>
              <w14:schemeClr w14:val="tx1"/>
            </w14:solidFill>
          </w14:textFill>
        </w:rPr>
        <w:t>与</w:t>
      </w:r>
      <w:r>
        <w:rPr>
          <w:rFonts w:hint="eastAsia" w:ascii="仿宋" w:hAnsi="仿宋" w:eastAsia="仿宋" w:cs="仿宋"/>
          <w:b/>
          <w:bCs/>
          <w:color w:val="000000" w:themeColor="text1"/>
          <w:sz w:val="32"/>
          <w:szCs w:val="32"/>
          <w:lang w:bidi="ar"/>
          <w14:textFill>
            <w14:solidFill>
              <w14:schemeClr w14:val="tx1"/>
            </w14:solidFill>
          </w14:textFill>
        </w:rPr>
        <w:t>治理。</w:t>
      </w:r>
      <w:r>
        <w:rPr>
          <w:rFonts w:hint="eastAsia" w:ascii="仿宋" w:hAnsi="仿宋" w:eastAsia="仿宋" w:cs="仿宋"/>
          <w:color w:val="000000" w:themeColor="text1"/>
          <w:sz w:val="32"/>
          <w:szCs w:val="32"/>
          <w:lang w:bidi="ar"/>
          <w14:textFill>
            <w14:solidFill>
              <w14:schemeClr w14:val="tx1"/>
            </w14:solidFill>
          </w14:textFill>
        </w:rPr>
        <w:t>开展植被恢复工程，加快推进退耕还湿、退耕还林。积极开展荒山荒地植被恢复，加大水源涵养林建设力度，保护好区域内森林资源。实施野生动物生境改善保护恢复工程，做好野生动物监测救护工作，加强有害生物监控与防治，丰富湿地生物多样性。打造嫩江流域生态系统最为健康完整、景观资源丰富、基础设施完善、文化底蕴深厚的湿地公园，为扎赉特旗周边居民以及外来旅游者提供认识湿地、探索湿地的科普宣教场所和生态旅游基地，形成扎赉特旗对外展示新窗口、生态文明新名片。</w:t>
      </w:r>
    </w:p>
    <w:p w14:paraId="0E904E59">
      <w:pPr>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b/>
          <w:bCs/>
          <w:color w:val="000000" w:themeColor="text1"/>
          <w:sz w:val="32"/>
          <w:szCs w:val="32"/>
          <w:lang w:eastAsia="zh-CN" w:bidi="ar"/>
          <w14:textFill>
            <w14:solidFill>
              <w14:schemeClr w14:val="tx1"/>
            </w14:solidFill>
          </w14:textFill>
        </w:rPr>
        <w:t>　　</w:t>
      </w:r>
      <w:r>
        <w:rPr>
          <w:rFonts w:hint="eastAsia" w:ascii="仿宋" w:hAnsi="仿宋" w:eastAsia="仿宋" w:cs="仿宋"/>
          <w:b/>
          <w:bCs/>
          <w:color w:val="000000" w:themeColor="text1"/>
          <w:sz w:val="32"/>
          <w:szCs w:val="32"/>
          <w:lang w:bidi="ar"/>
          <w14:textFill>
            <w14:solidFill>
              <w14:schemeClr w14:val="tx1"/>
            </w14:solidFill>
          </w14:textFill>
        </w:rPr>
        <w:t>统筹神山国家森林公园保护与开发。</w:t>
      </w:r>
      <w:r>
        <w:rPr>
          <w:rFonts w:hint="eastAsia" w:ascii="仿宋" w:hAnsi="仿宋" w:eastAsia="仿宋" w:cs="仿宋"/>
          <w:color w:val="000000" w:themeColor="text1"/>
          <w:sz w:val="32"/>
          <w:szCs w:val="32"/>
          <w:lang w:bidi="ar"/>
          <w14:textFill>
            <w14:solidFill>
              <w14:schemeClr w14:val="tx1"/>
            </w14:solidFill>
          </w14:textFill>
        </w:rPr>
        <w:t>实施人工造林、更新造林、封山育林等措施，稳定林种结构，实现森林面积和森林蓄积量双增长。加强森林病虫害防治体系</w:t>
      </w:r>
      <w:r>
        <w:rPr>
          <w:rFonts w:hint="eastAsia" w:ascii="仿宋" w:hAnsi="仿宋" w:eastAsia="仿宋" w:cs="仿宋"/>
          <w:color w:val="000000" w:themeColor="text1"/>
          <w:sz w:val="32"/>
          <w:szCs w:val="32"/>
          <w:lang w:val="en-US" w:eastAsia="zh-CN" w:bidi="ar"/>
          <w14:textFill>
            <w14:solidFill>
              <w14:schemeClr w14:val="tx1"/>
            </w14:solidFill>
          </w14:textFill>
        </w:rPr>
        <w:t>建设</w:t>
      </w:r>
      <w:r>
        <w:rPr>
          <w:rFonts w:hint="eastAsia" w:ascii="仿宋" w:hAnsi="仿宋" w:eastAsia="仿宋" w:cs="仿宋"/>
          <w:color w:val="000000" w:themeColor="text1"/>
          <w:sz w:val="32"/>
          <w:szCs w:val="32"/>
          <w:lang w:bidi="ar"/>
          <w14:textFill>
            <w14:solidFill>
              <w14:schemeClr w14:val="tx1"/>
            </w14:solidFill>
          </w14:textFill>
        </w:rPr>
        <w:t>，控制病虫害发生和蔓延。禁止在生态公益林内进行伐木、开垦、采石、采矿、筑坟，严厉打击狩猎、诱捕、毒杀野生动物。保护野生动物栖息环境，加强鸟类栖息地特殊保护，按鸟类的不同生活习性分别进行环境整治，种植适合鸟类采食、繁衍的植物。充分利用和挖掘森林公园的自然景观和人文景观资源，丰富景观内涵，加强景点建设，完善旅游配套基础设施，将森林公园建成环境优美、交通便捷、设施齐全、服务完善、安全舒适、管理高效的综合性国家级森林公园。</w:t>
      </w:r>
    </w:p>
    <w:p w14:paraId="7F5C9D95">
      <w:pPr>
        <w:pageBreakBefore w:val="0"/>
        <w:kinsoku/>
        <w:wordWrap/>
        <w:overflowPunct/>
        <w:topLinePunct w:val="0"/>
        <w:bidi w:val="0"/>
        <w:snapToGrid/>
        <w:spacing w:line="600" w:lineRule="exact"/>
        <w:ind w:firstLine="640"/>
        <w:textAlignment w:val="auto"/>
        <w:rPr>
          <w:rFonts w:hint="eastAsia" w:ascii="仿宋" w:hAnsi="仿宋" w:eastAsia="仿宋" w:cs="仿宋"/>
          <w:color w:val="000000" w:themeColor="text1"/>
          <w:sz w:val="32"/>
          <w:szCs w:val="32"/>
          <w:lang w:eastAsia="zh-CN"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强化图牧吉国家自然保护区生态修复与治理。</w:t>
      </w:r>
      <w:r>
        <w:rPr>
          <w:rFonts w:hint="eastAsia" w:ascii="仿宋" w:hAnsi="仿宋" w:eastAsia="仿宋" w:cs="仿宋"/>
          <w:color w:val="000000" w:themeColor="text1"/>
          <w:sz w:val="32"/>
          <w:szCs w:val="32"/>
          <w:lang w:bidi="ar"/>
          <w14:textFill>
            <w14:solidFill>
              <w14:schemeClr w14:val="tx1"/>
            </w14:solidFill>
          </w14:textFill>
        </w:rPr>
        <w:t>严格保护核心区，保持生态系统自然演替、珍稀物种自然繁衍。</w:t>
      </w:r>
      <w:r>
        <w:rPr>
          <w:rFonts w:hint="eastAsia" w:ascii="仿宋" w:hAnsi="仿宋" w:eastAsia="仿宋" w:cs="仿宋"/>
          <w:color w:val="000000" w:themeColor="text1"/>
          <w:sz w:val="32"/>
          <w:szCs w:val="32"/>
          <w:lang w:val="en-US" w:eastAsia="zh-CN" w:bidi="ar"/>
          <w14:textFill>
            <w14:solidFill>
              <w14:schemeClr w14:val="tx1"/>
            </w14:solidFill>
          </w14:textFill>
        </w:rPr>
        <w:t>严禁</w:t>
      </w:r>
      <w:r>
        <w:rPr>
          <w:rFonts w:hint="eastAsia" w:ascii="仿宋" w:hAnsi="仿宋" w:eastAsia="仿宋" w:cs="仿宋"/>
          <w:color w:val="000000" w:themeColor="text1"/>
          <w:sz w:val="32"/>
          <w:szCs w:val="32"/>
          <w:lang w:bidi="ar"/>
          <w14:textFill>
            <w14:solidFill>
              <w14:schemeClr w14:val="tx1"/>
            </w14:solidFill>
          </w14:textFill>
        </w:rPr>
        <w:t>乱采滥挖、乱捕滥猎。建立湿地生态补水协调机制，继续实施保护区“引绰济图”生态补水工程、河湖连通工程，疏浚图牧吉水库，严格控制和管理各个泡子水位。加强保护区周边农药化肥使用</w:t>
      </w:r>
      <w:r>
        <w:rPr>
          <w:rFonts w:hint="eastAsia" w:ascii="仿宋" w:hAnsi="仿宋" w:eastAsia="仿宋" w:cs="仿宋"/>
          <w:color w:val="000000" w:themeColor="text1"/>
          <w:sz w:val="32"/>
          <w:szCs w:val="32"/>
          <w:lang w:eastAsia="zh-CN" w:bidi="ar"/>
          <w14:textFill>
            <w14:solidFill>
              <w14:schemeClr w14:val="tx1"/>
            </w14:solidFill>
          </w14:textFill>
        </w:rPr>
        <w:t>监管</w:t>
      </w:r>
      <w:r>
        <w:rPr>
          <w:rFonts w:hint="eastAsia" w:ascii="仿宋" w:hAnsi="仿宋" w:eastAsia="仿宋" w:cs="仿宋"/>
          <w:color w:val="000000" w:themeColor="text1"/>
          <w:sz w:val="32"/>
          <w:szCs w:val="32"/>
          <w:lang w:bidi="ar"/>
          <w14:textFill>
            <w14:solidFill>
              <w14:schemeClr w14:val="tx1"/>
            </w14:solidFill>
          </w14:textFill>
        </w:rPr>
        <w:t>，依法全面清理人为开垦湿地，推进退耕还湿、退耕还草。开展越冬野生动物保护专项行动，严厉打击猎捕野生动物的违法犯罪行为。扩大驯养繁殖基地，开展大鸨等鸟类野外驯养放归。积极开展科学研究和科普教育，完善监测体系，实现数字化管理。“十四五”期间，退化湿地恢复5260.36公顷，退耕还湿50公顷，退耕还草1541.21公顷。适度开发生态旅游，依托草原、湿地、湖泊、珍禽等独特生态旅游资源，打造“民族特色文化、草原自然景观、湿地珍禽观赏”为一体的生态旅游目的地</w:t>
      </w:r>
      <w:r>
        <w:rPr>
          <w:rFonts w:hint="eastAsia" w:ascii="仿宋" w:hAnsi="仿宋" w:eastAsia="仿宋" w:cs="仿宋"/>
          <w:color w:val="000000" w:themeColor="text1"/>
          <w:sz w:val="32"/>
          <w:szCs w:val="32"/>
          <w:lang w:eastAsia="zh-CN" w:bidi="ar"/>
          <w14:textFill>
            <w14:solidFill>
              <w14:schemeClr w14:val="tx1"/>
            </w14:solidFill>
          </w14:textFill>
        </w:rPr>
        <w:t>。</w:t>
      </w:r>
    </w:p>
    <w:p w14:paraId="34CEC2E6">
      <w:pPr>
        <w:pStyle w:val="2"/>
        <w:ind w:firstLine="640"/>
        <w:rPr>
          <w:rFonts w:hint="eastAsia" w:ascii="仿宋" w:hAnsi="仿宋" w:eastAsia="仿宋" w:cs="仿宋"/>
          <w:color w:val="000000" w:themeColor="text1"/>
          <w:lang w:eastAsia="zh-CN"/>
          <w14:textFill>
            <w14:solidFill>
              <w14:schemeClr w14:val="tx1"/>
            </w14:solidFill>
          </w14:textFill>
        </w:rPr>
      </w:pPr>
    </w:p>
    <w:p w14:paraId="68BAA938">
      <w:pPr>
        <w:pStyle w:val="2"/>
        <w:ind w:firstLine="640"/>
        <w:rPr>
          <w:rFonts w:hint="eastAsia" w:ascii="仿宋" w:hAnsi="仿宋" w:eastAsia="仿宋" w:cs="仿宋"/>
          <w:color w:val="000000" w:themeColor="text1"/>
          <w:lang w:eastAsia="zh-CN"/>
          <w14:textFill>
            <w14:solidFill>
              <w14:schemeClr w14:val="tx1"/>
            </w14:solidFill>
          </w14:textFill>
        </w:rPr>
      </w:pPr>
    </w:p>
    <w:p w14:paraId="015A2F61">
      <w:pPr>
        <w:pStyle w:val="2"/>
        <w:ind w:firstLine="640"/>
        <w:rPr>
          <w:rFonts w:hint="eastAsia" w:ascii="仿宋" w:hAnsi="仿宋" w:eastAsia="仿宋" w:cs="仿宋"/>
          <w:color w:val="000000" w:themeColor="text1"/>
          <w:lang w:eastAsia="zh-CN"/>
          <w14:textFill>
            <w14:solidFill>
              <w14:schemeClr w14:val="tx1"/>
            </w14:solidFill>
          </w14:textFill>
        </w:rPr>
      </w:pPr>
    </w:p>
    <w:p w14:paraId="50DE85B5">
      <w:pPr>
        <w:pStyle w:val="2"/>
        <w:ind w:firstLine="640"/>
        <w:rPr>
          <w:rFonts w:hint="eastAsia" w:ascii="仿宋" w:hAnsi="仿宋" w:eastAsia="仿宋" w:cs="仿宋"/>
          <w:color w:val="000000" w:themeColor="text1"/>
          <w:lang w:eastAsia="zh-CN"/>
          <w14:textFill>
            <w14:solidFill>
              <w14:schemeClr w14:val="tx1"/>
            </w14:solidFill>
          </w14:textFill>
        </w:rPr>
      </w:pPr>
    </w:p>
    <w:p w14:paraId="219FEAB4">
      <w:pPr>
        <w:pStyle w:val="2"/>
        <w:ind w:firstLine="640"/>
        <w:rPr>
          <w:rFonts w:hint="eastAsia" w:ascii="仿宋" w:hAnsi="仿宋" w:eastAsia="仿宋" w:cs="仿宋"/>
          <w:color w:val="000000" w:themeColor="text1"/>
          <w:lang w:eastAsia="zh-CN"/>
          <w14:textFill>
            <w14:solidFill>
              <w14:schemeClr w14:val="tx1"/>
            </w14:solidFill>
          </w14:textFill>
        </w:rPr>
      </w:pPr>
    </w:p>
    <w:p w14:paraId="6EB326D1">
      <w:pPr>
        <w:pStyle w:val="2"/>
        <w:ind w:firstLine="640"/>
        <w:rPr>
          <w:rFonts w:hint="eastAsia" w:ascii="仿宋" w:hAnsi="仿宋" w:eastAsia="仿宋" w:cs="仿宋"/>
          <w:color w:val="000000" w:themeColor="text1"/>
          <w:lang w:eastAsia="zh-CN"/>
          <w14:textFill>
            <w14:solidFill>
              <w14:schemeClr w14:val="tx1"/>
            </w14:solidFill>
          </w14:textFill>
        </w:rPr>
      </w:pPr>
    </w:p>
    <w:p w14:paraId="54F9BF55">
      <w:pPr>
        <w:pStyle w:val="2"/>
        <w:ind w:firstLine="640"/>
        <w:rPr>
          <w:rFonts w:hint="eastAsia" w:ascii="仿宋" w:hAnsi="仿宋" w:eastAsia="仿宋" w:cs="仿宋"/>
          <w:color w:val="000000" w:themeColor="text1"/>
          <w:lang w:eastAsia="zh-CN"/>
          <w14:textFill>
            <w14:solidFill>
              <w14:schemeClr w14:val="tx1"/>
            </w14:solidFill>
          </w14:textFill>
        </w:rPr>
      </w:pPr>
    </w:p>
    <w:p w14:paraId="68AFBA36">
      <w:pPr>
        <w:pStyle w:val="2"/>
        <w:ind w:firstLine="640"/>
        <w:rPr>
          <w:rFonts w:hint="eastAsia" w:ascii="仿宋" w:hAnsi="仿宋" w:eastAsia="仿宋" w:cs="仿宋"/>
          <w:color w:val="000000" w:themeColor="text1"/>
          <w:lang w:eastAsia="zh-CN"/>
          <w14:textFill>
            <w14:solidFill>
              <w14:schemeClr w14:val="tx1"/>
            </w14:solidFill>
          </w14:textFill>
        </w:rPr>
      </w:pPr>
    </w:p>
    <w:p w14:paraId="59BFF86C">
      <w:pPr>
        <w:pStyle w:val="2"/>
        <w:ind w:firstLine="640"/>
        <w:rPr>
          <w:rFonts w:hint="eastAsia" w:ascii="仿宋" w:hAnsi="仿宋" w:eastAsia="仿宋" w:cs="仿宋"/>
          <w:color w:val="000000" w:themeColor="text1"/>
          <w:lang w:eastAsia="zh-CN"/>
          <w14:textFill>
            <w14:solidFill>
              <w14:schemeClr w14:val="tx1"/>
            </w14:solidFill>
          </w14:textFill>
        </w:rPr>
      </w:pPr>
    </w:p>
    <w:p w14:paraId="2C36C6C1">
      <w:pPr>
        <w:pStyle w:val="2"/>
        <w:ind w:firstLine="640"/>
        <w:rPr>
          <w:rFonts w:hint="eastAsia" w:ascii="仿宋" w:hAnsi="仿宋" w:eastAsia="仿宋" w:cs="仿宋"/>
          <w:color w:val="000000" w:themeColor="text1"/>
          <w:lang w:eastAsia="zh-CN"/>
          <w14:textFill>
            <w14:solidFill>
              <w14:schemeClr w14:val="tx1"/>
            </w14:solidFill>
          </w14:textFill>
        </w:rPr>
      </w:pPr>
    </w:p>
    <w:p w14:paraId="1AE549FF">
      <w:pPr>
        <w:pStyle w:val="2"/>
        <w:ind w:firstLine="640"/>
        <w:rPr>
          <w:rFonts w:hint="eastAsia" w:ascii="仿宋" w:hAnsi="仿宋" w:eastAsia="仿宋" w:cs="仿宋"/>
          <w:color w:val="000000" w:themeColor="text1"/>
          <w:lang w:eastAsia="zh-CN"/>
          <w14:textFill>
            <w14:solidFill>
              <w14:schemeClr w14:val="tx1"/>
            </w14:solidFill>
          </w14:textFill>
        </w:rPr>
      </w:pPr>
    </w:p>
    <w:p w14:paraId="378D60CE">
      <w:pPr>
        <w:pStyle w:val="2"/>
        <w:ind w:firstLine="640"/>
        <w:rPr>
          <w:rFonts w:hint="eastAsia" w:ascii="仿宋" w:hAnsi="仿宋" w:eastAsia="仿宋" w:cs="仿宋"/>
          <w:color w:val="000000" w:themeColor="text1"/>
          <w:lang w:eastAsia="zh-CN"/>
          <w14:textFill>
            <w14:solidFill>
              <w14:schemeClr w14:val="tx1"/>
            </w14:solidFill>
          </w14:textFill>
        </w:rPr>
      </w:pPr>
    </w:p>
    <w:bookmarkEnd w:id="35"/>
    <w:p w14:paraId="5C5FB04C">
      <w:pPr>
        <w:pStyle w:val="2"/>
        <w:rPr>
          <w:rFonts w:hint="eastAsia" w:ascii="仿宋" w:hAnsi="仿宋" w:eastAsia="仿宋" w:cs="仿宋"/>
          <w:color w:val="000000" w:themeColor="text1"/>
          <w14:textFill>
            <w14:solidFill>
              <w14:schemeClr w14:val="tx1"/>
            </w14:solidFill>
          </w14:textFill>
        </w:rPr>
      </w:pPr>
    </w:p>
    <w:tbl>
      <w:tblPr>
        <w:tblStyle w:val="13"/>
        <w:tblW w:w="8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0"/>
      </w:tblGrid>
      <w:tr w14:paraId="2738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0" w:type="dxa"/>
            <w:tcBorders>
              <w:top w:val="single" w:color="auto" w:sz="4" w:space="0"/>
              <w:left w:val="single" w:color="auto" w:sz="4" w:space="0"/>
              <w:bottom w:val="single" w:color="auto" w:sz="4" w:space="0"/>
              <w:right w:val="single" w:color="auto" w:sz="4" w:space="0"/>
            </w:tcBorders>
          </w:tcPr>
          <w:p w14:paraId="6A2D329E">
            <w:pPr>
              <w:widowControl w:val="0"/>
              <w:spacing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专栏2：“十四五”生态环境保护</w:t>
            </w:r>
          </w:p>
        </w:tc>
      </w:tr>
      <w:tr w14:paraId="7A42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020" w:type="dxa"/>
            <w:tcBorders>
              <w:top w:val="single" w:color="auto" w:sz="4" w:space="0"/>
              <w:left w:val="single" w:color="auto" w:sz="4" w:space="0"/>
              <w:bottom w:val="single" w:color="auto" w:sz="4" w:space="0"/>
              <w:right w:val="single" w:color="auto" w:sz="4" w:space="0"/>
            </w:tcBorders>
          </w:tcPr>
          <w:p w14:paraId="4D5C24A4">
            <w:pPr>
              <w:widowControl w:val="0"/>
              <w:numPr>
                <w:ilvl w:val="0"/>
                <w:numId w:val="0"/>
              </w:numPr>
              <w:spacing w:line="360" w:lineRule="auto"/>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一、加强生态环境综合治理</w:t>
            </w:r>
          </w:p>
          <w:p w14:paraId="2BF9733C">
            <w:pPr>
              <w:widowControl w:val="0"/>
              <w:numPr>
                <w:ilvl w:val="0"/>
                <w:numId w:val="2"/>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草原植被恢复，规模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47</w:t>
            </w:r>
            <w:r>
              <w:rPr>
                <w:rFonts w:hint="eastAsia" w:asciiTheme="minorEastAsia" w:hAnsiTheme="minorEastAsia" w:eastAsiaTheme="minorEastAsia" w:cstheme="minorEastAsia"/>
                <w:color w:val="000000" w:themeColor="text1"/>
                <w:sz w:val="21"/>
                <w:szCs w:val="21"/>
                <w14:textFill>
                  <w14:solidFill>
                    <w14:schemeClr w14:val="tx1"/>
                  </w14:solidFill>
                </w14:textFill>
              </w:rPr>
              <w:t>.5万亩。</w:t>
            </w:r>
          </w:p>
          <w:p w14:paraId="58AEA865">
            <w:pPr>
              <w:widowControl w:val="0"/>
              <w:numPr>
                <w:ilvl w:val="0"/>
                <w:numId w:val="2"/>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退牧还草工程，规模12.5万亩，其中，退化草原改良7.5万亩，毒害草治理5万亩。</w:t>
            </w:r>
          </w:p>
          <w:p w14:paraId="653EFF5E">
            <w:pPr>
              <w:widowControl w:val="0"/>
              <w:numPr>
                <w:ilvl w:val="0"/>
                <w:numId w:val="2"/>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已垦林地退耕还林工程，在6个国有林场实施已垦林地退耕还林10万亩</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14:paraId="752883DF">
            <w:pPr>
              <w:widowControl w:val="0"/>
              <w:numPr>
                <w:ilvl w:val="0"/>
                <w:numId w:val="2"/>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水土保持工程，以巴彦乌兰、巴达尔胡、新林、巴彦高勒、宝力根花为重点，实施治理45万亩300平方公里</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14:paraId="4BDC45CA">
            <w:pPr>
              <w:widowControl w:val="0"/>
              <w:numPr>
                <w:ilvl w:val="0"/>
                <w:numId w:val="2"/>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侵蚀沟治理工程，以巴彦乌兰、巴达尔胡、新林、巴彦高勒、胡尔勒、巴彦扎拉嘎、阿拉达尔吐为重点，实施治理375平方公里56万亩</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14:paraId="01AB6CCD">
            <w:pPr>
              <w:widowControl w:val="0"/>
              <w:numPr>
                <w:ilvl w:val="0"/>
                <w:numId w:val="2"/>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湿地保护与修复工程，绰尔托欣河国家湿地公园实施退耕还湿301公顷、退耕还林216公顷、水源涵养林339公顷</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14:paraId="0F4E3151">
            <w:pPr>
              <w:widowControl w:val="0"/>
              <w:numPr>
                <w:ilvl w:val="0"/>
                <w:numId w:val="3"/>
              </w:numPr>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图牧吉自然保护区生态修复工程，退化湿地恢复5230.36公顷，退耕还湿50公顷，退耕还草1541.21公顷。</w:t>
            </w:r>
          </w:p>
          <w:p w14:paraId="1532BADC">
            <w:pPr>
              <w:widowControl w:val="0"/>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8.三北防护林工程封山育林30万亩。</w:t>
            </w:r>
          </w:p>
          <w:p w14:paraId="4917DEA9">
            <w:pPr>
              <w:pStyle w:val="6"/>
              <w:spacing w:line="36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9.森林抚育项目，规模30万亩。</w:t>
            </w:r>
          </w:p>
          <w:p w14:paraId="3F71ABAD">
            <w:pPr>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10.退化林修复项目，规模15万亩。</w:t>
            </w:r>
          </w:p>
          <w:p w14:paraId="23811513">
            <w:pPr>
              <w:pStyle w:val="2"/>
              <w:spacing w:line="360" w:lineRule="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二、加强绿色矿山建设。</w:t>
            </w:r>
          </w:p>
        </w:tc>
      </w:tr>
    </w:tbl>
    <w:p w14:paraId="51DA0207">
      <w:pPr>
        <w:autoSpaceDE w:val="0"/>
        <w:autoSpaceDN w:val="0"/>
        <w:adjustRightInd w:val="0"/>
        <w:spacing w:line="360" w:lineRule="auto"/>
        <w:rPr>
          <w:rFonts w:hint="eastAsia" w:ascii="仿宋" w:hAnsi="仿宋" w:eastAsia="仿宋" w:cs="仿宋"/>
          <w:color w:val="000000" w:themeColor="text1"/>
          <w:sz w:val="32"/>
          <w:szCs w:val="32"/>
          <w14:textFill>
            <w14:solidFill>
              <w14:schemeClr w14:val="tx1"/>
            </w14:solidFill>
          </w14:textFill>
        </w:rPr>
      </w:pPr>
    </w:p>
    <w:p w14:paraId="07A97033">
      <w:pPr>
        <w:pStyle w:val="4"/>
        <w:rPr>
          <w:rFonts w:hint="eastAsia" w:ascii="仿宋" w:hAnsi="仿宋" w:eastAsia="仿宋" w:cs="仿宋"/>
          <w:color w:val="000000" w:themeColor="text1"/>
          <w14:textFill>
            <w14:solidFill>
              <w14:schemeClr w14:val="tx1"/>
            </w14:solidFill>
          </w14:textFill>
        </w:rPr>
      </w:pPr>
      <w:bookmarkStart w:id="36" w:name="_Toc61280855"/>
      <w:bookmarkStart w:id="37" w:name="_Toc20899"/>
      <w:bookmarkStart w:id="38" w:name="_Toc9118"/>
      <w:bookmarkStart w:id="39" w:name="_Toc11005"/>
      <w:r>
        <w:rPr>
          <w:rFonts w:hint="eastAsia" w:ascii="仿宋" w:hAnsi="仿宋" w:eastAsia="仿宋" w:cs="仿宋"/>
          <w:color w:val="000000" w:themeColor="text1"/>
          <w14:textFill>
            <w14:solidFill>
              <w14:schemeClr w14:val="tx1"/>
            </w14:solidFill>
          </w14:textFill>
        </w:rPr>
        <w:t xml:space="preserve">第三节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强化环境污染防治</w:t>
      </w:r>
      <w:bookmarkEnd w:id="36"/>
      <w:bookmarkEnd w:id="37"/>
      <w:bookmarkEnd w:id="38"/>
      <w:bookmarkEnd w:id="39"/>
    </w:p>
    <w:p w14:paraId="4DB1A605">
      <w:pPr>
        <w:pStyle w:val="5"/>
        <w:pageBreakBefore w:val="0"/>
        <w:numPr>
          <w:ilvl w:val="2"/>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b w:val="0"/>
          <w:bCs w:val="0"/>
          <w:color w:val="000000" w:themeColor="text1"/>
          <w:kern w:val="0"/>
          <w14:textFill>
            <w14:solidFill>
              <w14:schemeClr w14:val="tx1"/>
            </w14:solidFill>
          </w14:textFill>
        </w:rPr>
      </w:pPr>
      <w:bookmarkStart w:id="40" w:name="_Toc61280856"/>
      <w:bookmarkStart w:id="41" w:name="_Toc32151"/>
      <w:r>
        <w:rPr>
          <w:rFonts w:hint="eastAsia" w:ascii="黑体" w:hAnsi="黑体" w:eastAsia="黑体" w:cs="黑体"/>
          <w:b w:val="0"/>
          <w:bCs w:val="0"/>
          <w:color w:val="000000" w:themeColor="text1"/>
          <w:kern w:val="0"/>
          <w14:textFill>
            <w14:solidFill>
              <w14:schemeClr w14:val="tx1"/>
            </w14:solidFill>
          </w14:textFill>
        </w:rPr>
        <w:t>一、加强大气污染防治</w:t>
      </w:r>
      <w:bookmarkEnd w:id="40"/>
      <w:bookmarkEnd w:id="41"/>
    </w:p>
    <w:p w14:paraId="7C9DA5E7">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推动大气污染协同控制。</w:t>
      </w:r>
      <w:r>
        <w:rPr>
          <w:rFonts w:hint="eastAsia" w:ascii="仿宋" w:hAnsi="仿宋" w:eastAsia="仿宋" w:cs="仿宋"/>
          <w:color w:val="000000" w:themeColor="text1"/>
          <w:sz w:val="32"/>
          <w:szCs w:val="32"/>
          <w:lang w:val="en-US" w:eastAsia="zh-CN"/>
          <w14:textFill>
            <w14:solidFill>
              <w14:schemeClr w14:val="tx1"/>
            </w14:solidFill>
          </w14:textFill>
        </w:rPr>
        <w:t>提高大气</w:t>
      </w:r>
      <w:r>
        <w:rPr>
          <w:rFonts w:hint="eastAsia" w:ascii="仿宋" w:hAnsi="仿宋" w:eastAsia="仿宋" w:cs="仿宋"/>
          <w:color w:val="000000" w:themeColor="text1"/>
          <w:sz w:val="32"/>
          <w:szCs w:val="32"/>
          <w14:textFill>
            <w14:solidFill>
              <w14:schemeClr w14:val="tx1"/>
            </w14:solidFill>
          </w14:textFill>
        </w:rPr>
        <w:t>质量改善</w:t>
      </w:r>
      <w:r>
        <w:rPr>
          <w:rFonts w:hint="eastAsia" w:ascii="仿宋" w:hAnsi="仿宋" w:eastAsia="仿宋" w:cs="仿宋"/>
          <w:color w:val="000000" w:themeColor="text1"/>
          <w:sz w:val="32"/>
          <w:szCs w:val="32"/>
          <w:lang w:val="en-US" w:eastAsia="zh-CN"/>
          <w14:textFill>
            <w14:solidFill>
              <w14:schemeClr w14:val="tx1"/>
            </w14:solidFill>
          </w14:textFill>
        </w:rPr>
        <w:t>标准，优化</w:t>
      </w:r>
      <w:r>
        <w:rPr>
          <w:rFonts w:hint="eastAsia" w:ascii="仿宋" w:hAnsi="仿宋" w:eastAsia="仿宋" w:cs="仿宋"/>
          <w:color w:val="000000" w:themeColor="text1"/>
          <w:sz w:val="32"/>
          <w:szCs w:val="32"/>
          <w14:textFill>
            <w14:solidFill>
              <w14:schemeClr w14:val="tx1"/>
            </w14:solidFill>
          </w14:textFill>
        </w:rPr>
        <w:t>大气污染防治布局，完善大气环境监测和污染源监管网络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着力完成冬季清洁取暖、非电行业超低排放全面治理等工作，巩固蓝天保卫战成果</w:t>
      </w:r>
      <w:r>
        <w:rPr>
          <w:rFonts w:hint="eastAsia" w:ascii="仿宋" w:hAnsi="仿宋" w:eastAsia="仿宋" w:cs="仿宋"/>
          <w:color w:val="000000" w:themeColor="text1"/>
          <w:sz w:val="32"/>
          <w:szCs w:val="32"/>
          <w:lang w:eastAsia="zh-CN"/>
          <w14:textFill>
            <w14:solidFill>
              <w14:schemeClr w14:val="tx1"/>
            </w14:solidFill>
          </w14:textFill>
        </w:rPr>
        <w:t>。</w:t>
      </w:r>
    </w:p>
    <w:p w14:paraId="7D9A19A0">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严格控制大气污染物排放总量。</w:t>
      </w:r>
      <w:r>
        <w:rPr>
          <w:rFonts w:hint="eastAsia" w:ascii="仿宋" w:hAnsi="仿宋" w:eastAsia="仿宋" w:cs="仿宋"/>
          <w:color w:val="000000" w:themeColor="text1"/>
          <w:sz w:val="32"/>
          <w:szCs w:val="32"/>
          <w14:textFill>
            <w14:solidFill>
              <w14:schemeClr w14:val="tx1"/>
            </w14:solidFill>
          </w14:textFill>
        </w:rPr>
        <w:t>继续实行重点污染物排放总量控制，</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将挥发性有机物纳入总量控制体系。依托排污许可证</w:t>
      </w:r>
      <w:r>
        <w:rPr>
          <w:rFonts w:hint="eastAsia" w:ascii="仿宋" w:hAnsi="仿宋" w:eastAsia="仿宋" w:cs="仿宋"/>
          <w:color w:val="000000" w:themeColor="text1"/>
          <w:sz w:val="32"/>
          <w:szCs w:val="32"/>
          <w:lang w:val="en-US" w:eastAsia="zh-CN"/>
          <w14:textFill>
            <w14:solidFill>
              <w14:schemeClr w14:val="tx1"/>
            </w14:solidFill>
          </w14:textFill>
        </w:rPr>
        <w:t>制度，</w:t>
      </w:r>
      <w:r>
        <w:rPr>
          <w:rFonts w:hint="eastAsia" w:ascii="仿宋" w:hAnsi="仿宋" w:eastAsia="仿宋" w:cs="仿宋"/>
          <w:color w:val="000000" w:themeColor="text1"/>
          <w:sz w:val="32"/>
          <w:szCs w:val="32"/>
          <w14:textFill>
            <w14:solidFill>
              <w14:schemeClr w14:val="tx1"/>
            </w14:solidFill>
          </w14:textFill>
        </w:rPr>
        <w:t>分解固定污染源总量</w:t>
      </w:r>
      <w:r>
        <w:rPr>
          <w:rFonts w:hint="eastAsia" w:ascii="仿宋" w:hAnsi="仿宋" w:eastAsia="仿宋" w:cs="仿宋"/>
          <w:color w:val="000000" w:themeColor="text1"/>
          <w:sz w:val="32"/>
          <w:szCs w:val="32"/>
          <w:lang w:val="en-US" w:eastAsia="zh-CN"/>
          <w14:textFill>
            <w14:solidFill>
              <w14:schemeClr w14:val="tx1"/>
            </w14:solidFill>
          </w14:textFill>
        </w:rPr>
        <w:t>排放</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加强实际排放量核算与监管，实现</w:t>
      </w:r>
      <w:r>
        <w:rPr>
          <w:rFonts w:hint="eastAsia" w:ascii="仿宋" w:hAnsi="仿宋" w:eastAsia="仿宋" w:cs="仿宋"/>
          <w:color w:val="000000" w:themeColor="text1"/>
          <w:sz w:val="32"/>
          <w:szCs w:val="32"/>
          <w14:textFill>
            <w14:solidFill>
              <w14:schemeClr w14:val="tx1"/>
            </w14:solidFill>
          </w14:textFill>
        </w:rPr>
        <w:t>固定污染源总量</w:t>
      </w:r>
      <w:r>
        <w:rPr>
          <w:rFonts w:hint="eastAsia" w:ascii="仿宋" w:hAnsi="仿宋" w:eastAsia="仿宋" w:cs="仿宋"/>
          <w:color w:val="000000" w:themeColor="text1"/>
          <w:sz w:val="32"/>
          <w:szCs w:val="32"/>
          <w:lang w:val="en-US" w:eastAsia="zh-CN"/>
          <w14:textFill>
            <w14:solidFill>
              <w14:schemeClr w14:val="tx1"/>
            </w14:solidFill>
          </w14:textFill>
        </w:rPr>
        <w:t>控制。</w:t>
      </w:r>
    </w:p>
    <w:p w14:paraId="282ACCF9">
      <w:pPr>
        <w:pStyle w:val="5"/>
        <w:pageBreakBefore w:val="0"/>
        <w:numPr>
          <w:ilvl w:val="2"/>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b w:val="0"/>
          <w:bCs w:val="0"/>
          <w:color w:val="000000" w:themeColor="text1"/>
          <w:kern w:val="0"/>
          <w14:textFill>
            <w14:solidFill>
              <w14:schemeClr w14:val="tx1"/>
            </w14:solidFill>
          </w14:textFill>
        </w:rPr>
      </w:pPr>
      <w:bookmarkStart w:id="42" w:name="_Toc61280857"/>
      <w:r>
        <w:rPr>
          <w:rFonts w:hint="eastAsia" w:ascii="黑体" w:hAnsi="黑体" w:eastAsia="黑体" w:cs="黑体"/>
          <w:b w:val="0"/>
          <w:bCs w:val="0"/>
          <w:color w:val="000000" w:themeColor="text1"/>
          <w:kern w:val="0"/>
          <w14:textFill>
            <w14:solidFill>
              <w14:schemeClr w14:val="tx1"/>
            </w14:solidFill>
          </w14:textFill>
        </w:rPr>
        <w:t>二、加强水污染防治</w:t>
      </w:r>
      <w:bookmarkEnd w:id="42"/>
    </w:p>
    <w:p w14:paraId="4C7E664C">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强化流域水质管理。</w:t>
      </w:r>
      <w:r>
        <w:rPr>
          <w:rFonts w:hint="eastAsia" w:ascii="仿宋" w:hAnsi="仿宋" w:eastAsia="仿宋" w:cs="仿宋"/>
          <w:color w:val="000000" w:themeColor="text1"/>
          <w:sz w:val="32"/>
          <w:szCs w:val="32"/>
          <w14:textFill>
            <w14:solidFill>
              <w14:schemeClr w14:val="tx1"/>
            </w14:solidFill>
          </w14:textFill>
        </w:rPr>
        <w:t>按照“流域-控制区-控制单元”实施分区管控，</w:t>
      </w:r>
      <w:r>
        <w:rPr>
          <w:rFonts w:hint="eastAsia" w:ascii="仿宋" w:hAnsi="仿宋" w:eastAsia="仿宋" w:cs="仿宋"/>
          <w:color w:val="000000" w:themeColor="text1"/>
          <w:sz w:val="32"/>
          <w:szCs w:val="32"/>
          <w:lang w:val="en-US" w:eastAsia="zh-CN"/>
          <w14:textFill>
            <w14:solidFill>
              <w14:schemeClr w14:val="tx1"/>
            </w14:solidFill>
          </w14:textFill>
        </w:rPr>
        <w:t>建立</w:t>
      </w:r>
      <w:r>
        <w:rPr>
          <w:rFonts w:hint="eastAsia" w:ascii="仿宋" w:hAnsi="仿宋" w:eastAsia="仿宋" w:cs="仿宋"/>
          <w:color w:val="000000" w:themeColor="text1"/>
          <w:sz w:val="32"/>
          <w:szCs w:val="32"/>
          <w14:textFill>
            <w14:solidFill>
              <w14:schemeClr w14:val="tx1"/>
            </w14:solidFill>
          </w14:textFill>
        </w:rPr>
        <w:t>污染源、水功能区、排污口、控制断面</w:t>
      </w:r>
      <w:r>
        <w:rPr>
          <w:rFonts w:hint="eastAsia" w:ascii="仿宋" w:hAnsi="仿宋" w:eastAsia="仿宋" w:cs="仿宋"/>
          <w:color w:val="000000" w:themeColor="text1"/>
          <w:sz w:val="32"/>
          <w:szCs w:val="32"/>
          <w:lang w:val="en-US" w:eastAsia="zh-CN"/>
          <w14:textFill>
            <w14:solidFill>
              <w14:schemeClr w14:val="tx1"/>
            </w14:solidFill>
          </w14:textFill>
        </w:rPr>
        <w:t>于一体的</w:t>
      </w:r>
      <w:r>
        <w:rPr>
          <w:rFonts w:hint="eastAsia" w:ascii="仿宋" w:hAnsi="仿宋" w:eastAsia="仿宋" w:cs="仿宋"/>
          <w:color w:val="000000" w:themeColor="text1"/>
          <w:sz w:val="32"/>
          <w:szCs w:val="32"/>
          <w14:textFill>
            <w14:solidFill>
              <w14:schemeClr w14:val="tx1"/>
            </w14:solidFill>
          </w14:textFill>
        </w:rPr>
        <w:t>流域控制单元管理体系。以河长制为抓手，层层分解流域生态环境保护</w:t>
      </w:r>
      <w:r>
        <w:rPr>
          <w:rFonts w:hint="eastAsia" w:ascii="仿宋" w:hAnsi="仿宋" w:eastAsia="仿宋" w:cs="仿宋"/>
          <w:color w:val="000000" w:themeColor="text1"/>
          <w:sz w:val="32"/>
          <w:szCs w:val="32"/>
          <w:lang w:val="en-US" w:eastAsia="zh-CN"/>
          <w14:textFill>
            <w14:solidFill>
              <w14:schemeClr w14:val="tx1"/>
            </w14:solidFill>
          </w14:textFill>
        </w:rPr>
        <w:t>任务</w:t>
      </w:r>
      <w:r>
        <w:rPr>
          <w:rFonts w:hint="eastAsia" w:ascii="仿宋" w:hAnsi="仿宋" w:eastAsia="仿宋" w:cs="仿宋"/>
          <w:color w:val="000000" w:themeColor="text1"/>
          <w:sz w:val="32"/>
          <w:szCs w:val="32"/>
          <w14:textFill>
            <w14:solidFill>
              <w14:schemeClr w14:val="tx1"/>
            </w14:solidFill>
          </w14:textFill>
        </w:rPr>
        <w:t>，全面建立完善流域责任管理体系。</w:t>
      </w:r>
    </w:p>
    <w:p w14:paraId="15F2D9FC">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严格饮用水水源保护。</w:t>
      </w:r>
      <w:r>
        <w:rPr>
          <w:rFonts w:hint="eastAsia" w:ascii="仿宋" w:hAnsi="仿宋" w:eastAsia="仿宋" w:cs="仿宋"/>
          <w:color w:val="000000" w:themeColor="text1"/>
          <w:sz w:val="32"/>
          <w:szCs w:val="32"/>
          <w14:textFill>
            <w14:solidFill>
              <w14:schemeClr w14:val="tx1"/>
            </w14:solidFill>
          </w14:textFill>
        </w:rPr>
        <w:t>推进水源地一级保护区治理工程，重点排查影响饮用水水源的工业企业、居民集聚区、养殖种植等污染源。推进城镇污水治理工程，加快补齐污水处理收集设施短板，建设14座污水处理站、铺设排水管道80</w:t>
      </w:r>
      <w:r>
        <w:rPr>
          <w:rFonts w:hint="eastAsia" w:ascii="仿宋" w:hAnsi="仿宋" w:eastAsia="仿宋" w:cs="仿宋"/>
          <w:color w:val="000000" w:themeColor="text1"/>
          <w:sz w:val="32"/>
          <w:szCs w:val="32"/>
          <w:lang w:val="en-US" w:eastAsia="zh-CN"/>
          <w14:textFill>
            <w14:solidFill>
              <w14:schemeClr w14:val="tx1"/>
            </w14:solidFill>
          </w14:textFill>
        </w:rPr>
        <w:t>公里</w:t>
      </w:r>
      <w:r>
        <w:rPr>
          <w:rFonts w:hint="eastAsia" w:ascii="仿宋" w:hAnsi="仿宋" w:eastAsia="仿宋" w:cs="仿宋"/>
          <w:color w:val="000000" w:themeColor="text1"/>
          <w:sz w:val="32"/>
          <w:szCs w:val="32"/>
          <w14:textFill>
            <w14:solidFill>
              <w14:schemeClr w14:val="tx1"/>
            </w14:solidFill>
          </w14:textFill>
        </w:rPr>
        <w:t>。</w:t>
      </w:r>
    </w:p>
    <w:p w14:paraId="547622DF">
      <w:pPr>
        <w:pStyle w:val="5"/>
        <w:pageBreakBefore w:val="0"/>
        <w:numPr>
          <w:ilvl w:val="2"/>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b w:val="0"/>
          <w:bCs w:val="0"/>
          <w:color w:val="000000" w:themeColor="text1"/>
          <w:kern w:val="0"/>
          <w14:textFill>
            <w14:solidFill>
              <w14:schemeClr w14:val="tx1"/>
            </w14:solidFill>
          </w14:textFill>
        </w:rPr>
      </w:pPr>
      <w:bookmarkStart w:id="43" w:name="_Toc61280858"/>
      <w:bookmarkStart w:id="44" w:name="_Toc1146"/>
      <w:r>
        <w:rPr>
          <w:rFonts w:hint="eastAsia" w:ascii="黑体" w:hAnsi="黑体" w:eastAsia="黑体" w:cs="黑体"/>
          <w:b w:val="0"/>
          <w:bCs w:val="0"/>
          <w:color w:val="000000" w:themeColor="text1"/>
          <w:kern w:val="0"/>
          <w14:textFill>
            <w14:solidFill>
              <w14:schemeClr w14:val="tx1"/>
            </w14:solidFill>
          </w14:textFill>
        </w:rPr>
        <w:t>三、稳步提升土壤环境安全水平</w:t>
      </w:r>
      <w:bookmarkEnd w:id="43"/>
      <w:bookmarkEnd w:id="44"/>
    </w:p>
    <w:p w14:paraId="23622BA6">
      <w:pPr>
        <w:widowControl w:val="0"/>
        <w:spacing w:line="360" w:lineRule="auto"/>
        <w:ind w:firstLine="640"/>
        <w:jc w:val="both"/>
        <w:rPr>
          <w:rFonts w:eastAsia="仿宋_GB2312"/>
          <w:sz w:val="32"/>
          <w:szCs w:val="32"/>
        </w:rPr>
      </w:pPr>
      <w:r>
        <w:rPr>
          <w:rFonts w:hint="eastAsia" w:ascii="仿宋" w:hAnsi="仿宋" w:eastAsia="仿宋" w:cs="仿宋"/>
          <w:color w:val="000000" w:themeColor="text1"/>
          <w:sz w:val="32"/>
          <w:szCs w:val="32"/>
          <w14:textFill>
            <w14:solidFill>
              <w14:schemeClr w14:val="tx1"/>
            </w14:solidFill>
          </w14:textFill>
        </w:rPr>
        <w:t>推进“无废城市”建设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以减量化、资源化、无害化为目标强化固体废物污染防治，实施垃圾治理工程，新增垃圾收集设施8499个，垃圾中转设施159座，垃圾运输设备653台，垃圾处理设施39处。</w:t>
      </w:r>
      <w:r>
        <w:rPr>
          <w:rFonts w:eastAsia="仿宋_GB2312"/>
          <w:sz w:val="32"/>
          <w:szCs w:val="32"/>
        </w:rPr>
        <w:t>加强农业面源</w:t>
      </w:r>
      <w:r>
        <w:rPr>
          <w:rFonts w:hint="eastAsia" w:eastAsia="仿宋_GB2312"/>
          <w:sz w:val="32"/>
          <w:szCs w:val="32"/>
        </w:rPr>
        <w:t>污染防治</w:t>
      </w:r>
      <w:r>
        <w:rPr>
          <w:rFonts w:eastAsia="仿宋_GB2312"/>
          <w:sz w:val="32"/>
          <w:szCs w:val="32"/>
        </w:rPr>
        <w:t>，</w:t>
      </w:r>
      <w:r>
        <w:rPr>
          <w:rFonts w:hint="eastAsia" w:eastAsia="仿宋_GB2312"/>
          <w:sz w:val="32"/>
          <w:szCs w:val="32"/>
        </w:rPr>
        <w:t>推动</w:t>
      </w:r>
      <w:r>
        <w:rPr>
          <w:rFonts w:eastAsia="仿宋_GB2312"/>
          <w:sz w:val="32"/>
          <w:szCs w:val="32"/>
        </w:rPr>
        <w:t>农业清洁生产，实现化肥、农药施用负增长，禁用高毒、高残留农药和超薄地膜。持续完善养殖场粪污处理设施，</w:t>
      </w:r>
      <w:r>
        <w:rPr>
          <w:rFonts w:hint="eastAsia" w:eastAsia="仿宋_GB2312"/>
          <w:sz w:val="32"/>
          <w:szCs w:val="32"/>
        </w:rPr>
        <w:t>推进</w:t>
      </w:r>
      <w:r>
        <w:rPr>
          <w:rFonts w:eastAsia="仿宋_GB2312"/>
          <w:sz w:val="32"/>
          <w:szCs w:val="32"/>
        </w:rPr>
        <w:t>养殖废弃物资源化利用、无害化处置。</w:t>
      </w:r>
      <w:r>
        <w:rPr>
          <w:rFonts w:hint="eastAsia" w:eastAsia="仿宋_GB2312"/>
          <w:sz w:val="32"/>
          <w:szCs w:val="32"/>
        </w:rPr>
        <w:t>建立疑似污染地块、污染地块名录及其开发利用负面清单，合理确定土地用途。严格落实监管责任，建立部门信息沟通机制，实行联动监管。</w:t>
      </w:r>
    </w:p>
    <w:p w14:paraId="46A03999">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45" w:name="_Toc1990"/>
      <w:bookmarkStart w:id="46" w:name="_Toc18280"/>
      <w:bookmarkStart w:id="47" w:name="_Toc61280859"/>
      <w:bookmarkStart w:id="48" w:name="_Toc11463"/>
      <w:r>
        <w:rPr>
          <w:rFonts w:hint="eastAsia" w:ascii="仿宋" w:hAnsi="仿宋" w:eastAsia="仿宋" w:cs="仿宋"/>
          <w:color w:val="000000" w:themeColor="text1"/>
          <w14:textFill>
            <w14:solidFill>
              <w14:schemeClr w14:val="tx1"/>
            </w14:solidFill>
          </w14:textFill>
        </w:rPr>
        <w:t xml:space="preserve">第四节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加快形成绿色发展方式</w:t>
      </w:r>
      <w:bookmarkEnd w:id="45"/>
      <w:bookmarkEnd w:id="46"/>
      <w:bookmarkEnd w:id="47"/>
      <w:bookmarkEnd w:id="48"/>
    </w:p>
    <w:p w14:paraId="7ACAAC7E">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落实好能耗问题和“双控”目标。</w:t>
      </w:r>
      <w:r>
        <w:rPr>
          <w:rFonts w:hint="eastAsia" w:ascii="仿宋" w:hAnsi="仿宋" w:eastAsia="仿宋" w:cs="仿宋"/>
          <w:color w:val="000000" w:themeColor="text1"/>
          <w:sz w:val="32"/>
          <w:szCs w:val="32"/>
          <w14:textFill>
            <w14:solidFill>
              <w14:schemeClr w14:val="tx1"/>
            </w14:solidFill>
          </w14:textFill>
        </w:rPr>
        <w:t>“十四五”期间，全旗能源消耗总量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单位</w:t>
      </w:r>
      <w:r>
        <w:rPr>
          <w:rFonts w:hint="eastAsia" w:ascii="仿宋" w:hAnsi="仿宋" w:eastAsia="仿宋" w:cs="仿宋"/>
          <w:color w:val="000000" w:themeColor="text1"/>
          <w:sz w:val="32"/>
          <w:szCs w:val="32"/>
          <w:lang w:val="en-US" w:eastAsia="zh-CN"/>
          <w14:textFill>
            <w14:solidFill>
              <w14:schemeClr w14:val="tx1"/>
            </w14:solidFill>
          </w14:textFill>
        </w:rPr>
        <w:t>GDP</w:t>
      </w:r>
      <w:r>
        <w:rPr>
          <w:rFonts w:hint="eastAsia" w:ascii="仿宋" w:hAnsi="仿宋" w:eastAsia="仿宋" w:cs="仿宋"/>
          <w:color w:val="000000" w:themeColor="text1"/>
          <w:sz w:val="32"/>
          <w:szCs w:val="32"/>
          <w14:textFill>
            <w14:solidFill>
              <w14:schemeClr w14:val="tx1"/>
            </w14:solidFill>
          </w14:textFill>
        </w:rPr>
        <w:t>能耗</w:t>
      </w:r>
      <w:r>
        <w:rPr>
          <w:rFonts w:hint="eastAsia" w:ascii="仿宋" w:hAnsi="仿宋" w:eastAsia="仿宋" w:cs="仿宋"/>
          <w:color w:val="000000" w:themeColor="text1"/>
          <w:sz w:val="32"/>
          <w:szCs w:val="32"/>
          <w:lang w:eastAsia="zh-CN"/>
          <w14:textFill>
            <w14:solidFill>
              <w14:schemeClr w14:val="tx1"/>
            </w14:solidFill>
          </w14:textFill>
        </w:rPr>
        <w:t>指标控制在目标范围内</w:t>
      </w:r>
      <w:r>
        <w:rPr>
          <w:rFonts w:hint="eastAsia" w:ascii="仿宋" w:hAnsi="仿宋" w:eastAsia="仿宋" w:cs="仿宋"/>
          <w:color w:val="000000" w:themeColor="text1"/>
          <w:sz w:val="32"/>
          <w:szCs w:val="32"/>
          <w14:textFill>
            <w14:solidFill>
              <w14:schemeClr w14:val="tx1"/>
            </w14:solidFill>
          </w14:textFill>
        </w:rPr>
        <w:t>。</w:t>
      </w:r>
    </w:p>
    <w:p w14:paraId="6948AA7E">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优化能源结构</w:t>
      </w:r>
      <w:r>
        <w:rPr>
          <w:rFonts w:hint="eastAsia" w:ascii="仿宋" w:hAnsi="仿宋" w:eastAsia="仿宋" w:cs="仿宋"/>
          <w:b/>
          <w:color w:val="000000" w:themeColor="text1"/>
          <w:sz w:val="32"/>
          <w:szCs w:val="32"/>
          <w14:textFill>
            <w14:solidFill>
              <w14:schemeClr w14:val="tx1"/>
            </w14:solidFill>
          </w14:textFill>
        </w:rPr>
        <w:t>，提升能源清洁化水平。</w:t>
      </w:r>
      <w:r>
        <w:rPr>
          <w:rFonts w:hint="eastAsia" w:ascii="仿宋" w:hAnsi="仿宋" w:eastAsia="仿宋" w:cs="仿宋"/>
          <w:color w:val="000000" w:themeColor="text1"/>
          <w:sz w:val="32"/>
          <w:szCs w:val="32"/>
          <w14:textFill>
            <w14:solidFill>
              <w14:schemeClr w14:val="tx1"/>
            </w14:solidFill>
          </w14:textFill>
        </w:rPr>
        <w:t>推动煤炭清洁高效利用，继续推进清洁取暖，削减居民散煤和小型燃煤锅炉、窑炉消费量，提高清洁煤比例。</w:t>
      </w:r>
    </w:p>
    <w:p w14:paraId="41C3B67C">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推进绿色生活方式。</w:t>
      </w:r>
      <w:r>
        <w:rPr>
          <w:rFonts w:hint="eastAsia" w:ascii="仿宋" w:hAnsi="仿宋" w:eastAsia="仿宋" w:cs="仿宋"/>
          <w:color w:val="000000" w:themeColor="text1"/>
          <w:sz w:val="32"/>
          <w:szCs w:val="32"/>
          <w14:textFill>
            <w14:solidFill>
              <w14:schemeClr w14:val="tx1"/>
            </w14:solidFill>
          </w14:textFill>
        </w:rPr>
        <w:t>实施全民环境保护宣传教育行动计划，推广绿色生活行为准则，利用环境教育基地、生态文明示范基地等各类平台，开展以生活方式绿色化为主题的互动式教育，利用互联网宣传绿色节能低碳生活方式，创建一批绿色家庭、绿色社区、绿色学校，提高全社会生态环境保护</w:t>
      </w:r>
      <w:r>
        <w:rPr>
          <w:rFonts w:hint="eastAsia" w:ascii="仿宋" w:hAnsi="仿宋" w:eastAsia="仿宋" w:cs="仿宋"/>
          <w:color w:val="000000" w:themeColor="text1"/>
          <w:sz w:val="32"/>
          <w:szCs w:val="32"/>
          <w:lang w:val="en-US" w:eastAsia="zh-CN"/>
          <w14:textFill>
            <w14:solidFill>
              <w14:schemeClr w14:val="tx1"/>
            </w14:solidFill>
          </w14:textFill>
        </w:rPr>
        <w:t>和应对气候变化</w:t>
      </w:r>
      <w:r>
        <w:rPr>
          <w:rFonts w:hint="eastAsia" w:ascii="仿宋" w:hAnsi="仿宋" w:eastAsia="仿宋" w:cs="仿宋"/>
          <w:color w:val="000000" w:themeColor="text1"/>
          <w:sz w:val="32"/>
          <w:szCs w:val="32"/>
          <w14:textFill>
            <w14:solidFill>
              <w14:schemeClr w14:val="tx1"/>
            </w14:solidFill>
          </w14:textFill>
        </w:rPr>
        <w:t>意识。</w:t>
      </w:r>
    </w:p>
    <w:p w14:paraId="769F4FAC">
      <w:pPr>
        <w:spacing w:line="360" w:lineRule="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br w:type="page"/>
      </w:r>
    </w:p>
    <w:p w14:paraId="7DCAF3BA">
      <w:pPr>
        <w:pStyle w:val="3"/>
        <w:pageBreakBefore w:val="0"/>
        <w:kinsoku/>
        <w:wordWrap/>
        <w:overflowPunct/>
        <w:topLinePunct w:val="0"/>
        <w:bidi w:val="0"/>
        <w:snapToGrid/>
        <w:spacing w:before="0" w:beforeLines="0" w:after="0" w:afterLines="0" w:line="600" w:lineRule="exact"/>
        <w:ind w:firstLine="0" w:firstLineChars="0"/>
        <w:textAlignment w:val="auto"/>
        <w:rPr>
          <w:rFonts w:hint="eastAsia" w:ascii="黑体" w:hAnsi="黑体" w:eastAsia="黑体" w:cs="黑体"/>
          <w:b w:val="0"/>
          <w:bCs w:val="0"/>
          <w:color w:val="000000" w:themeColor="text1"/>
          <w14:textFill>
            <w14:solidFill>
              <w14:schemeClr w14:val="tx1"/>
            </w14:solidFill>
          </w14:textFill>
        </w:rPr>
      </w:pPr>
      <w:bookmarkStart w:id="49" w:name="_Toc61280817"/>
      <w:bookmarkStart w:id="50" w:name="_Toc6244_WPSOffice_Level1"/>
      <w:bookmarkStart w:id="51" w:name="_Toc21235"/>
      <w:bookmarkStart w:id="52" w:name="_Toc5388"/>
      <w:bookmarkStart w:id="53" w:name="_Toc24806"/>
      <w:r>
        <w:rPr>
          <w:rFonts w:hint="eastAsia" w:ascii="黑体" w:hAnsi="黑体" w:eastAsia="黑体" w:cs="黑体"/>
          <w:b w:val="0"/>
          <w:bCs w:val="0"/>
          <w:color w:val="000000" w:themeColor="text1"/>
          <w14:textFill>
            <w14:solidFill>
              <w14:schemeClr w14:val="tx1"/>
            </w14:solidFill>
          </w14:textFill>
        </w:rPr>
        <w:t xml:space="preserve">第三章  坚持绿色发展 </w:t>
      </w:r>
      <w:bookmarkEnd w:id="49"/>
      <w:r>
        <w:rPr>
          <w:rFonts w:hint="eastAsia" w:ascii="黑体" w:hAnsi="黑体" w:eastAsia="黑体" w:cs="黑体"/>
          <w:b w:val="0"/>
          <w:bCs w:val="0"/>
          <w:color w:val="000000" w:themeColor="text1"/>
          <w14:textFill>
            <w14:solidFill>
              <w14:schemeClr w14:val="tx1"/>
            </w14:solidFill>
          </w14:textFill>
        </w:rPr>
        <w:t>构筑活力扎赉特</w:t>
      </w:r>
      <w:bookmarkEnd w:id="50"/>
      <w:bookmarkEnd w:id="51"/>
      <w:bookmarkEnd w:id="52"/>
      <w:bookmarkEnd w:id="53"/>
    </w:p>
    <w:p w14:paraId="5EBF2F05">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767DD4C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定不移走产业强旗道路，以“优质高端农畜产品基地”、“现代农牧业智慧化高地”、“有独特魅力的文化旅游胜地”为引领，做好“水”文章，加快推动产业向绿色、高端、特色、智慧化方向发展，促进一二三产业融合创新，形成以现代农业产业园、道地药材产业园、多羔羊产业园为示范，农牧业、农畜产品加工业、现代服务业为支柱的产业发展新格局，推动经济建设迈上新台阶。</w:t>
      </w:r>
    </w:p>
    <w:p w14:paraId="1C7C5340">
      <w:pPr>
        <w:pStyle w:val="4"/>
        <w:pageBreakBefore w:val="0"/>
        <w:numPr>
          <w:ilvl w:val="0"/>
          <w:numId w:val="4"/>
        </w:numPr>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54" w:name="_Toc61280818"/>
      <w:bookmarkStart w:id="55" w:name="_Toc4123"/>
      <w:r>
        <w:rPr>
          <w:rFonts w:hint="eastAsia" w:ascii="仿宋" w:hAnsi="仿宋" w:eastAsia="仿宋" w:cs="仿宋"/>
          <w:color w:val="000000" w:themeColor="text1"/>
          <w:lang w:val="en-US" w:eastAsia="zh-CN"/>
          <w14:textFill>
            <w14:solidFill>
              <w14:schemeClr w14:val="tx1"/>
            </w14:solidFill>
          </w14:textFill>
        </w:rPr>
        <w:t xml:space="preserve"> </w:t>
      </w:r>
      <w:bookmarkStart w:id="56" w:name="_Toc14852"/>
      <w:bookmarkStart w:id="57" w:name="_Toc24394"/>
      <w:r>
        <w:rPr>
          <w:rFonts w:hint="eastAsia" w:ascii="仿宋" w:hAnsi="仿宋" w:eastAsia="仿宋" w:cs="仿宋"/>
          <w:color w:val="000000" w:themeColor="text1"/>
          <w14:textFill>
            <w14:solidFill>
              <w14:schemeClr w14:val="tx1"/>
            </w14:solidFill>
          </w14:textFill>
        </w:rPr>
        <w:t>推进农牧业现代</w:t>
      </w:r>
      <w:bookmarkEnd w:id="54"/>
      <w:r>
        <w:rPr>
          <w:rFonts w:hint="eastAsia" w:ascii="仿宋" w:hAnsi="仿宋" w:eastAsia="仿宋" w:cs="仿宋"/>
          <w:color w:val="000000" w:themeColor="text1"/>
          <w14:textFill>
            <w14:solidFill>
              <w14:schemeClr w14:val="tx1"/>
            </w14:solidFill>
          </w14:textFill>
        </w:rPr>
        <w:t>化</w:t>
      </w:r>
      <w:bookmarkEnd w:id="55"/>
      <w:bookmarkEnd w:id="56"/>
      <w:bookmarkEnd w:id="57"/>
    </w:p>
    <w:p w14:paraId="23A2282A">
      <w:pPr>
        <w:keepNext w:val="0"/>
        <w:keepLines w:val="0"/>
        <w:pageBreakBefore w:val="0"/>
        <w:widowControl/>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坚持质量兴农、绿色兴农，坚定不移推动传统农牧业迈向现代农牧业</w:t>
      </w:r>
      <w:r>
        <w:rPr>
          <w:rFonts w:hint="eastAsia" w:ascii="仿宋" w:hAnsi="仿宋" w:eastAsia="仿宋" w:cs="仿宋"/>
          <w:color w:val="000000" w:themeColor="text1"/>
          <w:sz w:val="32"/>
          <w:szCs w:val="32"/>
          <w:lang w:val="en-US" w:eastAsia="zh-CN"/>
          <w14:textFill>
            <w14:solidFill>
              <w14:schemeClr w14:val="tx1"/>
            </w14:solidFill>
          </w14:textFill>
        </w:rPr>
        <w:t>现代化</w:t>
      </w:r>
      <w:r>
        <w:rPr>
          <w:rFonts w:hint="eastAsia" w:ascii="仿宋" w:hAnsi="仿宋" w:eastAsia="仿宋" w:cs="仿宋"/>
          <w:color w:val="000000" w:themeColor="text1"/>
          <w:sz w:val="32"/>
          <w:szCs w:val="32"/>
          <w14:textFill>
            <w14:solidFill>
              <w14:schemeClr w14:val="tx1"/>
            </w14:solidFill>
          </w14:textFill>
        </w:rPr>
        <w:t>，大力发展特色农牧业，增加优质绿色农畜产品供给，促进三次产业融合发展，提高农牧业质量效益和竞争力，实现</w:t>
      </w:r>
      <w:r>
        <w:rPr>
          <w:rFonts w:hint="eastAsia" w:ascii="仿宋" w:hAnsi="仿宋" w:eastAsia="仿宋" w:cs="仿宋"/>
          <w:color w:val="000000" w:themeColor="text1"/>
          <w:sz w:val="32"/>
          <w:szCs w:val="32"/>
          <w:lang w:val="en-US"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农牧业大旗向农牧业强旗转变。</w:t>
      </w:r>
      <w:r>
        <w:rPr>
          <w:rFonts w:hint="eastAsia" w:ascii="仿宋" w:hAnsi="仿宋" w:eastAsia="仿宋" w:cs="仿宋"/>
          <w:color w:val="000000" w:themeColor="text1"/>
          <w:kern w:val="0"/>
          <w:position w:val="2"/>
          <w:sz w:val="56"/>
          <w:szCs w:val="56"/>
          <w14:textFill>
            <w14:solidFill>
              <w14:schemeClr w14:val="tx1"/>
            </w14:solidFill>
          </w14:textFill>
        </w:rPr>
        <w:t xml:space="preserve"> </w:t>
      </w:r>
    </w:p>
    <w:p w14:paraId="4A3AEA00">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14:textFill>
            <w14:solidFill>
              <w14:schemeClr w14:val="tx1"/>
            </w14:solidFill>
          </w14:textFill>
        </w:rPr>
      </w:pPr>
      <w:bookmarkStart w:id="58" w:name="_Toc61280819"/>
      <w:r>
        <w:rPr>
          <w:rFonts w:hint="eastAsia" w:ascii="黑体" w:hAnsi="黑体" w:eastAsia="黑体" w:cs="黑体"/>
          <w:b w:val="0"/>
          <w:bCs w:val="0"/>
          <w:color w:val="000000" w:themeColor="text1"/>
          <w14:textFill>
            <w14:solidFill>
              <w14:schemeClr w14:val="tx1"/>
            </w14:solidFill>
          </w14:textFill>
        </w:rPr>
        <w:t>一、</w:t>
      </w:r>
      <w:bookmarkEnd w:id="58"/>
      <w:r>
        <w:rPr>
          <w:rFonts w:hint="eastAsia" w:ascii="黑体" w:hAnsi="黑体" w:eastAsia="黑体" w:cs="黑体"/>
          <w:b w:val="0"/>
          <w:bCs w:val="0"/>
          <w:color w:val="000000" w:themeColor="text1"/>
          <w14:textFill>
            <w14:solidFill>
              <w14:schemeClr w14:val="tx1"/>
            </w14:solidFill>
          </w14:textFill>
        </w:rPr>
        <w:t>促进农牧业高质量发展</w:t>
      </w:r>
    </w:p>
    <w:p w14:paraId="7201FD1A">
      <w:pPr>
        <w:pageBreakBefore w:val="0"/>
        <w:kinsoku/>
        <w:wordWrap/>
        <w:overflowPunct/>
        <w:topLinePunct w:val="0"/>
        <w:autoSpaceDE w:val="0"/>
        <w:autoSpaceDN w:val="0"/>
        <w:bidi w:val="0"/>
        <w:adjustRightInd w:val="0"/>
        <w:snapToGrid/>
        <w:spacing w:line="60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做强优质农产品基地，保障粮食安全。</w:t>
      </w:r>
      <w:r>
        <w:rPr>
          <w:rFonts w:hint="eastAsia" w:ascii="仿宋" w:hAnsi="仿宋" w:eastAsia="仿宋" w:cs="仿宋"/>
          <w:color w:val="000000" w:themeColor="text1"/>
          <w:sz w:val="32"/>
          <w:szCs w:val="32"/>
          <w14:textFill>
            <w14:solidFill>
              <w14:schemeClr w14:val="tx1"/>
            </w14:solidFill>
          </w14:textFill>
        </w:rPr>
        <w:t>严格落实“藏粮于地、藏粮于技”战略，</w:t>
      </w:r>
      <w:r>
        <w:rPr>
          <w:rFonts w:hint="eastAsia" w:eastAsia="仿宋_GB2312" w:cstheme="minorBidi"/>
          <w:sz w:val="32"/>
          <w:szCs w:val="32"/>
        </w:rPr>
        <w:t>坚决遏制耕</w:t>
      </w:r>
      <w:r>
        <w:rPr>
          <w:rFonts w:hint="eastAsia" w:eastAsia="仿宋_GB2312" w:cstheme="minorBidi"/>
          <w:sz w:val="32"/>
          <w:szCs w:val="32"/>
          <w:highlight w:val="none"/>
        </w:rPr>
        <w:t>地</w:t>
      </w:r>
      <w:r>
        <w:rPr>
          <w:rFonts w:hint="eastAsia" w:ascii="仿宋" w:hAnsi="仿宋" w:eastAsia="仿宋" w:cs="仿宋"/>
          <w:color w:val="000000" w:themeColor="text1"/>
          <w:sz w:val="32"/>
          <w:szCs w:val="32"/>
          <w:highlight w:val="none"/>
          <w:lang w:eastAsia="zh-CN"/>
          <w14:textFill>
            <w14:solidFill>
              <w14:schemeClr w14:val="tx1"/>
            </w14:solidFill>
          </w14:textFill>
        </w:rPr>
        <w:t>“非农化”、“非粮化”</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抓好粮食生产，保持粮食播种面积和产量稳定，开展耕地质量保护与提升行动，推进高标准农田建设，推动实施东北黑土地保护利用、耕地轮作、免耕播种、秸秆还田项目，在保护中提高土地利用率和产出率。玉米产业重点打造巴彦高勒镇至努文木仁乡黄金玉米产业示范区、宝力根花苏木至新林镇优势玉米产业示范带，推广“良种良法相配套、农机农艺相结合”，实现标准化生产，播种面积稳定在</w:t>
      </w:r>
      <w:r>
        <w:rPr>
          <w:rFonts w:hint="eastAsia" w:ascii="仿宋" w:hAnsi="仿宋" w:eastAsia="仿宋" w:cs="仿宋"/>
          <w:color w:val="000000" w:themeColor="text1"/>
          <w:sz w:val="32"/>
          <w:szCs w:val="32"/>
          <w:lang w:val="en-US" w:eastAsia="zh-CN"/>
          <w14:textFill>
            <w14:solidFill>
              <w14:schemeClr w14:val="tx1"/>
            </w14:solidFill>
          </w14:textFill>
        </w:rPr>
        <w:t>320</w:t>
      </w:r>
      <w:r>
        <w:rPr>
          <w:rFonts w:hint="eastAsia" w:ascii="仿宋" w:hAnsi="仿宋" w:eastAsia="仿宋" w:cs="仿宋"/>
          <w:color w:val="000000" w:themeColor="text1"/>
          <w:sz w:val="32"/>
          <w:szCs w:val="32"/>
          <w14:textFill>
            <w14:solidFill>
              <w14:schemeClr w14:val="tx1"/>
            </w14:solidFill>
          </w14:textFill>
        </w:rPr>
        <w:t>万亩，产量达到</w:t>
      </w:r>
      <w:r>
        <w:rPr>
          <w:rFonts w:hint="eastAsia"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亿斤以上。</w:t>
      </w:r>
      <w:r>
        <w:rPr>
          <w:rFonts w:hint="eastAsia" w:ascii="仿宋" w:hAnsi="仿宋" w:eastAsia="仿宋" w:cs="仿宋"/>
          <w:color w:val="000000" w:themeColor="text1"/>
          <w:sz w:val="32"/>
          <w:szCs w:val="32"/>
          <w:lang w:eastAsia="zh-CN"/>
          <w14:textFill>
            <w14:solidFill>
              <w14:schemeClr w14:val="tx1"/>
            </w14:solidFill>
          </w14:textFill>
        </w:rPr>
        <w:t>水稻</w:t>
      </w:r>
      <w:r>
        <w:rPr>
          <w:rFonts w:hint="eastAsia" w:ascii="仿宋" w:hAnsi="仿宋" w:eastAsia="仿宋" w:cs="仿宋"/>
          <w:color w:val="000000" w:themeColor="text1"/>
          <w:sz w:val="32"/>
          <w:szCs w:val="32"/>
          <w14:textFill>
            <w14:solidFill>
              <w14:schemeClr w14:val="tx1"/>
            </w14:solidFill>
          </w14:textFill>
        </w:rPr>
        <w:t>产业以旗属四大水系沿岸为重点，建设绰尔河流域地区水稻优势带，推进水稻标准化生产，</w:t>
      </w:r>
      <w:r>
        <w:rPr>
          <w:rFonts w:hint="eastAsia" w:ascii="仿宋" w:hAnsi="仿宋" w:eastAsia="仿宋" w:cs="仿宋"/>
          <w:color w:val="000000" w:themeColor="text1"/>
          <w:sz w:val="32"/>
          <w:szCs w:val="32"/>
          <w:lang w:eastAsia="zh-CN"/>
          <w14:textFill>
            <w14:solidFill>
              <w14:schemeClr w14:val="tx1"/>
            </w14:solidFill>
          </w14:textFill>
        </w:rPr>
        <w:t>基地规模达到</w:t>
      </w:r>
      <w:r>
        <w:rPr>
          <w:rFonts w:hint="eastAsia" w:ascii="仿宋" w:hAnsi="仿宋" w:eastAsia="仿宋" w:cs="仿宋"/>
          <w:color w:val="000000" w:themeColor="text1"/>
          <w:sz w:val="32"/>
          <w:szCs w:val="32"/>
          <w:lang w:val="en-US" w:eastAsia="zh-CN"/>
          <w14:textFill>
            <w14:solidFill>
              <w14:schemeClr w14:val="tx1"/>
            </w14:solidFill>
          </w14:textFill>
        </w:rPr>
        <w:t>120万亩</w:t>
      </w:r>
      <w:r>
        <w:rPr>
          <w:rFonts w:hint="eastAsia" w:ascii="仿宋" w:hAnsi="仿宋" w:eastAsia="仿宋" w:cs="仿宋"/>
          <w:color w:val="000000" w:themeColor="text1"/>
          <w:sz w:val="32"/>
          <w:szCs w:val="32"/>
          <w:lang w:eastAsia="zh-CN"/>
          <w14:textFill>
            <w14:solidFill>
              <w14:schemeClr w14:val="tx1"/>
            </w14:solidFill>
          </w14:textFill>
        </w:rPr>
        <w:t>，其中旱作水稻规模达到</w:t>
      </w:r>
      <w:r>
        <w:rPr>
          <w:rFonts w:hint="eastAsia" w:ascii="仿宋" w:hAnsi="仿宋" w:eastAsia="仿宋" w:cs="仿宋"/>
          <w:color w:val="000000" w:themeColor="text1"/>
          <w:sz w:val="32"/>
          <w:szCs w:val="32"/>
          <w:lang w:val="en-US" w:eastAsia="zh-CN"/>
          <w14:textFill>
            <w14:solidFill>
              <w14:schemeClr w14:val="tx1"/>
            </w14:solidFill>
          </w14:textFill>
        </w:rPr>
        <w:t>42</w:t>
      </w:r>
      <w:r>
        <w:rPr>
          <w:rFonts w:hint="eastAsia" w:ascii="仿宋" w:hAnsi="仿宋" w:eastAsia="仿宋" w:cs="仿宋"/>
          <w:color w:val="000000" w:themeColor="text1"/>
          <w:sz w:val="32"/>
          <w:szCs w:val="32"/>
          <w14:textFill>
            <w14:solidFill>
              <w14:schemeClr w14:val="tx1"/>
            </w14:solidFill>
          </w14:textFill>
        </w:rPr>
        <w:t>万亩</w:t>
      </w:r>
      <w:r>
        <w:rPr>
          <w:rFonts w:hint="eastAsia" w:ascii="仿宋" w:hAnsi="仿宋" w:eastAsia="仿宋" w:cs="仿宋"/>
          <w:color w:val="000000" w:themeColor="text1"/>
          <w:sz w:val="32"/>
          <w:szCs w:val="32"/>
          <w:lang w:val="en-US" w:eastAsia="zh-CN"/>
          <w14:textFill>
            <w14:solidFill>
              <w14:schemeClr w14:val="tx1"/>
            </w14:solidFill>
          </w14:textFill>
        </w:rPr>
        <w:t>,建成“兴安大米”核心区</w:t>
      </w:r>
      <w:r>
        <w:rPr>
          <w:rFonts w:hint="eastAsia" w:ascii="仿宋" w:hAnsi="仿宋" w:eastAsia="仿宋" w:cs="仿宋"/>
          <w:color w:val="000000" w:themeColor="text1"/>
          <w:sz w:val="32"/>
          <w:szCs w:val="32"/>
          <w14:textFill>
            <w14:solidFill>
              <w14:schemeClr w14:val="tx1"/>
            </w14:solidFill>
          </w14:textFill>
        </w:rPr>
        <w:t>。以新林镇、巴彦乌兰苏木、音德尔镇、好力保镇、巴彦高勒镇为重点，打造大豆生产基地，发展优质大豆50万亩，产量达到1.5亿斤；以图牧吉</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、巴彦高勒</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、宝力根花</w:t>
      </w:r>
      <w:r>
        <w:rPr>
          <w:rFonts w:hint="eastAsia" w:ascii="仿宋" w:hAnsi="仿宋" w:eastAsia="仿宋" w:cs="仿宋"/>
          <w:color w:val="000000" w:themeColor="text1"/>
          <w:sz w:val="32"/>
          <w:szCs w:val="32"/>
          <w:lang w:val="en-US" w:eastAsia="zh-CN"/>
          <w14:textFill>
            <w14:solidFill>
              <w14:schemeClr w14:val="tx1"/>
            </w14:solidFill>
          </w14:textFill>
        </w:rPr>
        <w:t>苏木</w:t>
      </w:r>
      <w:r>
        <w:rPr>
          <w:rFonts w:hint="eastAsia" w:ascii="仿宋" w:hAnsi="仿宋" w:eastAsia="仿宋" w:cs="仿宋"/>
          <w:color w:val="000000" w:themeColor="text1"/>
          <w:sz w:val="32"/>
          <w:szCs w:val="32"/>
          <w14:textFill>
            <w14:solidFill>
              <w14:schemeClr w14:val="tx1"/>
            </w14:solidFill>
          </w14:textFill>
        </w:rPr>
        <w:t>为重点，建设东南、西南地区杂粮杂豆优势带，发展杂粮、杂豆30万亩，产量达</w:t>
      </w:r>
      <w:r>
        <w:rPr>
          <w:rFonts w:hint="eastAsia" w:ascii="仿宋" w:hAnsi="仿宋" w:eastAsia="仿宋" w:cs="仿宋"/>
          <w:color w:val="000000" w:themeColor="text1"/>
          <w:sz w:val="32"/>
          <w:szCs w:val="32"/>
          <w:lang w:val="en-US" w:eastAsia="zh-CN"/>
          <w14:textFill>
            <w14:solidFill>
              <w14:schemeClr w14:val="tx1"/>
            </w14:solidFill>
          </w14:textFill>
        </w:rPr>
        <w:t>0.6</w:t>
      </w:r>
      <w:r>
        <w:rPr>
          <w:rFonts w:hint="eastAsia" w:ascii="仿宋" w:hAnsi="仿宋" w:eastAsia="仿宋" w:cs="仿宋"/>
          <w:color w:val="000000" w:themeColor="text1"/>
          <w:sz w:val="32"/>
          <w:szCs w:val="32"/>
          <w14:textFill>
            <w14:solidFill>
              <w14:schemeClr w14:val="tx1"/>
            </w14:solidFill>
          </w14:textFill>
        </w:rPr>
        <w:t>亿斤。以新林镇为中心，打造自治区级道地药材产业园，</w:t>
      </w:r>
      <w:r>
        <w:rPr>
          <w:rFonts w:hint="eastAsia" w:ascii="仿宋" w:hAnsi="仿宋" w:eastAsia="仿宋" w:cs="仿宋"/>
          <w:color w:val="auto"/>
          <w:sz w:val="32"/>
          <w:szCs w:val="32"/>
          <w:highlight w:val="none"/>
        </w:rPr>
        <w:t>实现核心基地面积达到</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万亩，辐射带动</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万亩。</w:t>
      </w:r>
      <w:r>
        <w:rPr>
          <w:rFonts w:hint="eastAsia" w:ascii="仿宋" w:hAnsi="仿宋" w:eastAsia="仿宋" w:cs="仿宋"/>
          <w:color w:val="000000" w:themeColor="text1"/>
          <w:sz w:val="32"/>
          <w:szCs w:val="32"/>
          <w14:textFill>
            <w14:solidFill>
              <w14:schemeClr w14:val="tx1"/>
            </w14:solidFill>
          </w14:textFill>
        </w:rPr>
        <w:t>以图牧吉</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、音德尔</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、好力保</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、巴彦高勒</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、新林</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、巴彦扎拉嘎</w:t>
      </w:r>
      <w:r>
        <w:rPr>
          <w:rFonts w:hint="eastAsia" w:ascii="仿宋" w:hAnsi="仿宋" w:eastAsia="仿宋" w:cs="仿宋"/>
          <w:color w:val="000000" w:themeColor="text1"/>
          <w:sz w:val="32"/>
          <w:szCs w:val="32"/>
          <w:lang w:val="en-US" w:eastAsia="zh-CN"/>
          <w14:textFill>
            <w14:solidFill>
              <w14:schemeClr w14:val="tx1"/>
            </w14:solidFill>
          </w14:textFill>
        </w:rPr>
        <w:t>乡</w:t>
      </w:r>
      <w:r>
        <w:rPr>
          <w:rFonts w:hint="eastAsia" w:ascii="仿宋" w:hAnsi="仿宋" w:eastAsia="仿宋" w:cs="仿宋"/>
          <w:color w:val="000000" w:themeColor="text1"/>
          <w:sz w:val="32"/>
          <w:szCs w:val="32"/>
          <w14:textFill>
            <w14:solidFill>
              <w14:schemeClr w14:val="tx1"/>
            </w14:solidFill>
          </w14:textFill>
        </w:rPr>
        <w:t>为建设重点，建设甜菜基地10万亩。继续推进“粮改饲”“粮改经”，不断扩大饲草、青贮玉米种植规模，饲草面积发展到</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万亩</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适度发展马铃薯种植</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其它作物1</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万亩。</w:t>
      </w:r>
      <w:r>
        <w:rPr>
          <w:rFonts w:hint="eastAsia" w:ascii="仿宋" w:hAnsi="仿宋" w:eastAsia="仿宋" w:cs="仿宋"/>
          <w:color w:val="000000" w:themeColor="text1"/>
          <w:sz w:val="32"/>
          <w:szCs w:val="32"/>
          <w14:textFill>
            <w14:solidFill>
              <w14:schemeClr w14:val="tx1"/>
            </w14:solidFill>
          </w14:textFill>
        </w:rPr>
        <w:t>到2025年，粮食综合生产能力稳定在38亿斤以上。</w:t>
      </w:r>
    </w:p>
    <w:p w14:paraId="3BDCD046">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做优畜产品产业，推动畜牧业健康发展。</w:t>
      </w:r>
      <w:r>
        <w:rPr>
          <w:rFonts w:hint="eastAsia" w:ascii="仿宋" w:hAnsi="仿宋" w:eastAsia="仿宋" w:cs="仿宋"/>
          <w:color w:val="000000" w:themeColor="text1"/>
          <w:sz w:val="32"/>
          <w:szCs w:val="32"/>
          <w14:textFill>
            <w14:solidFill>
              <w14:schemeClr w14:val="tx1"/>
            </w14:solidFill>
          </w14:textFill>
        </w:rPr>
        <w:t>以“稳羊增牛扩猪禽”为导向，加快畜牧业结构调整，提高质量、延伸链条，打造牛羊产品绿色品牌。家畜存栏达到400万头只口。打造肉牛产业基地，西北部乡镇以繁育为主、东南部乡镇以育肥为主，坚持农区牧区并重发展，</w:t>
      </w:r>
      <w:r>
        <w:rPr>
          <w:rFonts w:hint="eastAsia" w:ascii="仿宋" w:hAnsi="仿宋" w:eastAsia="仿宋" w:cs="仿宋"/>
          <w:color w:val="000000" w:themeColor="text1"/>
          <w:sz w:val="32"/>
          <w:szCs w:val="32"/>
          <w:lang w:eastAsia="zh-CN"/>
          <w14:textFill>
            <w14:solidFill>
              <w14:schemeClr w14:val="tx1"/>
            </w14:solidFill>
          </w14:textFill>
        </w:rPr>
        <w:t>打造</w:t>
      </w:r>
      <w:r>
        <w:rPr>
          <w:rFonts w:hint="eastAsia" w:ascii="仿宋" w:hAnsi="仿宋" w:eastAsia="仿宋" w:cs="仿宋"/>
          <w:color w:val="000000" w:themeColor="text1"/>
          <w:sz w:val="32"/>
          <w:szCs w:val="32"/>
          <w:highlight w:val="none"/>
          <w:lang w:eastAsia="zh-CN"/>
          <w14:textFill>
            <w14:solidFill>
              <w14:schemeClr w14:val="tx1"/>
            </w14:solidFill>
          </w14:textFill>
        </w:rPr>
        <w:t>巴彦扎拉嘎</w:t>
      </w:r>
      <w:r>
        <w:rPr>
          <w:rFonts w:hint="eastAsia" w:ascii="仿宋" w:hAnsi="仿宋" w:eastAsia="仿宋" w:cs="仿宋"/>
          <w:color w:val="000000" w:themeColor="text1"/>
          <w:sz w:val="32"/>
          <w:szCs w:val="32"/>
          <w:highlight w:val="none"/>
          <w:lang w:val="en-US" w:eastAsia="zh-CN"/>
          <w14:textFill>
            <w14:solidFill>
              <w14:schemeClr w14:val="tx1"/>
            </w14:solidFill>
          </w14:textFill>
        </w:rPr>
        <w:t>乡</w:t>
      </w:r>
      <w:r>
        <w:rPr>
          <w:rFonts w:hint="eastAsia" w:ascii="仿宋" w:hAnsi="仿宋" w:eastAsia="仿宋" w:cs="仿宋"/>
          <w:color w:val="000000" w:themeColor="text1"/>
          <w:sz w:val="32"/>
          <w:szCs w:val="32"/>
          <w:highlight w:val="none"/>
          <w:lang w:eastAsia="zh-CN"/>
          <w14:textFill>
            <w14:solidFill>
              <w14:schemeClr w14:val="tx1"/>
            </w14:solidFill>
          </w14:textFill>
        </w:rPr>
        <w:t>、巴达尔胡</w:t>
      </w:r>
      <w:r>
        <w:rPr>
          <w:rFonts w:hint="eastAsia" w:ascii="仿宋" w:hAnsi="仿宋" w:eastAsia="仿宋" w:cs="仿宋"/>
          <w:color w:val="000000" w:themeColor="text1"/>
          <w:sz w:val="32"/>
          <w:szCs w:val="32"/>
          <w:highlight w:val="none"/>
          <w:lang w:val="en-US" w:eastAsia="zh-CN"/>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重点肉牛养殖基地，</w:t>
      </w:r>
      <w:r>
        <w:rPr>
          <w:rFonts w:hint="eastAsia" w:ascii="仿宋" w:hAnsi="仿宋" w:eastAsia="仿宋" w:cs="仿宋"/>
          <w:color w:val="000000" w:themeColor="text1"/>
          <w:sz w:val="32"/>
          <w:szCs w:val="32"/>
          <w14:textFill>
            <w14:solidFill>
              <w14:schemeClr w14:val="tx1"/>
            </w14:solidFill>
          </w14:textFill>
        </w:rPr>
        <w:t>2025年</w:t>
      </w:r>
      <w:r>
        <w:rPr>
          <w:rFonts w:hint="eastAsia" w:ascii="仿宋" w:hAnsi="仿宋" w:eastAsia="仿宋" w:cs="仿宋"/>
          <w:color w:val="000000" w:themeColor="text1"/>
          <w:sz w:val="32"/>
          <w:szCs w:val="32"/>
          <w:lang w:val="en-US" w:eastAsia="zh-CN"/>
          <w14:textFill>
            <w14:solidFill>
              <w14:schemeClr w14:val="tx1"/>
            </w14:solidFill>
          </w14:textFill>
        </w:rPr>
        <w:t>末</w:t>
      </w:r>
      <w:r>
        <w:rPr>
          <w:rFonts w:hint="eastAsia" w:ascii="仿宋" w:hAnsi="仿宋" w:eastAsia="仿宋" w:cs="仿宋"/>
          <w:color w:val="000000" w:themeColor="text1"/>
          <w:sz w:val="32"/>
          <w:szCs w:val="32"/>
          <w14:textFill>
            <w14:solidFill>
              <w14:schemeClr w14:val="tx1"/>
            </w14:solidFill>
          </w14:textFill>
        </w:rPr>
        <w:t>肉牛存栏达到50万头。以扎赉特旗杜美牧业养殖场为中心，建设多羔羊产业示范园，辐射带动巴彦高勒等5个苏木镇、94个嘎查村、5.1万农户发展多羔羊规模养殖，2025年牧业年度肉羊存栏达到280万只。依托玉米秸秆资源以好力保</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、音德尔</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巴彦高勒</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努文木仁</w:t>
      </w:r>
      <w:r>
        <w:rPr>
          <w:rFonts w:hint="eastAsia" w:ascii="仿宋" w:hAnsi="仿宋" w:eastAsia="仿宋" w:cs="仿宋"/>
          <w:color w:val="000000" w:themeColor="text1"/>
          <w:sz w:val="32"/>
          <w:szCs w:val="32"/>
          <w:lang w:val="en-US" w:eastAsia="zh-CN"/>
          <w14:textFill>
            <w14:solidFill>
              <w14:schemeClr w14:val="tx1"/>
            </w14:solidFill>
          </w14:textFill>
        </w:rPr>
        <w:t>乡</w:t>
      </w:r>
      <w:r>
        <w:rPr>
          <w:rFonts w:hint="eastAsia" w:ascii="仿宋" w:hAnsi="仿宋" w:eastAsia="仿宋" w:cs="仿宋"/>
          <w:color w:val="000000" w:themeColor="text1"/>
          <w:sz w:val="32"/>
          <w:szCs w:val="32"/>
          <w14:textFill>
            <w14:solidFill>
              <w14:schemeClr w14:val="tx1"/>
            </w14:solidFill>
          </w14:textFill>
        </w:rPr>
        <w:t>为中心，打造生猪商品基地，2025年末生猪存栏达到60万</w:t>
      </w:r>
      <w:r>
        <w:rPr>
          <w:rFonts w:hint="eastAsia" w:ascii="仿宋" w:hAnsi="仿宋" w:eastAsia="仿宋" w:cs="仿宋"/>
          <w:color w:val="000000" w:themeColor="text1"/>
          <w:sz w:val="32"/>
          <w:szCs w:val="32"/>
          <w:lang w:val="en-US" w:eastAsia="zh-CN"/>
          <w14:textFill>
            <w14:solidFill>
              <w14:schemeClr w14:val="tx1"/>
            </w14:solidFill>
          </w14:textFill>
        </w:rPr>
        <w:t>口</w:t>
      </w:r>
      <w:r>
        <w:rPr>
          <w:rFonts w:hint="eastAsia" w:ascii="仿宋" w:hAnsi="仿宋" w:eastAsia="仿宋" w:cs="仿宋"/>
          <w:color w:val="000000" w:themeColor="text1"/>
          <w:sz w:val="32"/>
          <w:szCs w:val="32"/>
          <w14:textFill>
            <w14:solidFill>
              <w14:schemeClr w14:val="tx1"/>
            </w14:solidFill>
          </w14:textFill>
        </w:rPr>
        <w:t>，出栏达到150万</w:t>
      </w:r>
      <w:r>
        <w:rPr>
          <w:rFonts w:hint="eastAsia" w:ascii="仿宋" w:hAnsi="仿宋" w:eastAsia="仿宋" w:cs="仿宋"/>
          <w:color w:val="000000" w:themeColor="text1"/>
          <w:sz w:val="32"/>
          <w:szCs w:val="32"/>
          <w:lang w:val="en-US" w:eastAsia="zh-CN"/>
          <w14:textFill>
            <w14:solidFill>
              <w14:schemeClr w14:val="tx1"/>
            </w14:solidFill>
          </w14:textFill>
        </w:rPr>
        <w:t>口</w:t>
      </w:r>
      <w:r>
        <w:rPr>
          <w:rFonts w:hint="eastAsia" w:ascii="仿宋" w:hAnsi="仿宋" w:eastAsia="仿宋" w:cs="仿宋"/>
          <w:color w:val="000000" w:themeColor="text1"/>
          <w:sz w:val="32"/>
          <w:szCs w:val="32"/>
          <w14:textFill>
            <w14:solidFill>
              <w14:schemeClr w14:val="tx1"/>
            </w14:solidFill>
          </w14:textFill>
        </w:rPr>
        <w:t>，饲养量210万</w:t>
      </w:r>
      <w:r>
        <w:rPr>
          <w:rFonts w:hint="eastAsia" w:ascii="仿宋" w:hAnsi="仿宋" w:eastAsia="仿宋" w:cs="仿宋"/>
          <w:color w:val="000000" w:themeColor="text1"/>
          <w:sz w:val="32"/>
          <w:szCs w:val="32"/>
          <w:lang w:val="en-US" w:eastAsia="zh-CN"/>
          <w14:textFill>
            <w14:solidFill>
              <w14:schemeClr w14:val="tx1"/>
            </w14:solidFill>
          </w14:textFill>
        </w:rPr>
        <w:t>口</w:t>
      </w:r>
      <w:r>
        <w:rPr>
          <w:rFonts w:hint="eastAsia" w:ascii="仿宋" w:hAnsi="仿宋" w:eastAsia="仿宋" w:cs="仿宋"/>
          <w:color w:val="000000" w:themeColor="text1"/>
          <w:sz w:val="32"/>
          <w:szCs w:val="32"/>
          <w14:textFill>
            <w14:solidFill>
              <w14:schemeClr w14:val="tx1"/>
            </w14:solidFill>
          </w14:textFill>
        </w:rPr>
        <w:t>。</w:t>
      </w:r>
    </w:p>
    <w:p w14:paraId="02D79EFE">
      <w:pPr>
        <w:pageBreakBefore w:val="0"/>
        <w:kinsoku/>
        <w:wordWrap/>
        <w:overflowPunct/>
        <w:topLinePunct w:val="0"/>
        <w:autoSpaceDE w:val="0"/>
        <w:autoSpaceDN w:val="0"/>
        <w:bidi w:val="0"/>
        <w:adjustRightInd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推动一二三产业融合发展。</w:t>
      </w:r>
      <w:r>
        <w:rPr>
          <w:rFonts w:hint="eastAsia" w:ascii="仿宋" w:hAnsi="仿宋" w:eastAsia="仿宋" w:cs="仿宋"/>
          <w:color w:val="000000" w:themeColor="text1"/>
          <w:sz w:val="32"/>
          <w:szCs w:val="32"/>
          <w14:textFill>
            <w14:solidFill>
              <w14:schemeClr w14:val="tx1"/>
            </w14:solidFill>
          </w14:textFill>
        </w:rPr>
        <w:t>以产业园区为依托，</w:t>
      </w:r>
      <w:r>
        <w:rPr>
          <w:rFonts w:hint="eastAsia" w:ascii="仿宋" w:hAnsi="仿宋" w:eastAsia="仿宋" w:cs="仿宋"/>
          <w:color w:val="000000" w:themeColor="text1"/>
          <w:spacing w:val="-4"/>
          <w:kern w:val="0"/>
          <w:sz w:val="32"/>
          <w:szCs w:val="32"/>
          <w14:textFill>
            <w14:solidFill>
              <w14:schemeClr w14:val="tx1"/>
            </w14:solidFill>
          </w14:textFill>
        </w:rPr>
        <w:t>拓展农畜产品价值链，</w:t>
      </w:r>
      <w:r>
        <w:rPr>
          <w:rFonts w:hint="eastAsia" w:ascii="仿宋" w:hAnsi="仿宋" w:eastAsia="仿宋" w:cs="仿宋"/>
          <w:color w:val="000000" w:themeColor="text1"/>
          <w:sz w:val="32"/>
          <w:szCs w:val="32"/>
          <w14:textFill>
            <w14:solidFill>
              <w14:schemeClr w14:val="tx1"/>
            </w14:solidFill>
          </w14:textFill>
        </w:rPr>
        <w:t>有序引导以农牧资源为依托的二三产业关联性生产留在农牧区。</w:t>
      </w:r>
      <w:r>
        <w:rPr>
          <w:rFonts w:hint="eastAsia" w:ascii="仿宋" w:hAnsi="仿宋" w:eastAsia="仿宋" w:cs="仿宋"/>
          <w:color w:val="000000" w:themeColor="text1"/>
          <w:spacing w:val="-4"/>
          <w:kern w:val="0"/>
          <w:sz w:val="32"/>
          <w:szCs w:val="32"/>
          <w14:textFill>
            <w14:solidFill>
              <w14:schemeClr w14:val="tx1"/>
            </w14:solidFill>
          </w14:textFill>
        </w:rPr>
        <w:t>推进农牧业与加工业、现代服务业交叉融合，综合开发农牧业生产、生活和生态功能，大力发展农副产品加工、文化创业、乡村旅游等产业</w:t>
      </w:r>
      <w:r>
        <w:rPr>
          <w:rFonts w:hint="eastAsia" w:ascii="仿宋" w:hAnsi="仿宋" w:eastAsia="仿宋" w:cs="仿宋"/>
          <w:color w:val="000000" w:themeColor="text1"/>
          <w:sz w:val="32"/>
          <w:szCs w:val="32"/>
          <w14:textFill>
            <w14:solidFill>
              <w14:schemeClr w14:val="tx1"/>
            </w14:solidFill>
          </w14:textFill>
        </w:rPr>
        <w:t>，在农牧区合理布局一批生产、加工、仓储保鲜、冷链物流等基地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pacing w:val="-4"/>
          <w:kern w:val="0"/>
          <w:sz w:val="32"/>
          <w:szCs w:val="32"/>
          <w14:textFill>
            <w14:solidFill>
              <w14:schemeClr w14:val="tx1"/>
            </w14:solidFill>
          </w14:textFill>
        </w:rPr>
        <w:t>加快实施“互联网+农业”行动，发展</w:t>
      </w:r>
      <w:r>
        <w:rPr>
          <w:rFonts w:hint="eastAsia" w:ascii="仿宋" w:hAnsi="仿宋" w:eastAsia="仿宋" w:cs="仿宋"/>
          <w:b w:val="0"/>
          <w:bCs w:val="0"/>
          <w:color w:val="000000" w:themeColor="text1"/>
          <w:spacing w:val="-4"/>
          <w:kern w:val="0"/>
          <w:sz w:val="32"/>
          <w:szCs w:val="32"/>
          <w14:textFill>
            <w14:solidFill>
              <w14:schemeClr w14:val="tx1"/>
            </w14:solidFill>
          </w14:textFill>
        </w:rPr>
        <w:t>农业众筹、个性化定制农业</w:t>
      </w:r>
      <w:r>
        <w:rPr>
          <w:rFonts w:hint="eastAsia" w:ascii="仿宋" w:hAnsi="仿宋" w:eastAsia="仿宋" w:cs="仿宋"/>
          <w:color w:val="000000" w:themeColor="text1"/>
          <w:spacing w:val="-4"/>
          <w:kern w:val="0"/>
          <w:sz w:val="32"/>
          <w:szCs w:val="32"/>
          <w14:textFill>
            <w14:solidFill>
              <w14:schemeClr w14:val="tx1"/>
            </w14:solidFill>
          </w14:textFill>
        </w:rPr>
        <w:t>等新型业态，提升农牧业特色发展水平，</w:t>
      </w:r>
      <w:r>
        <w:rPr>
          <w:rFonts w:hint="eastAsia" w:ascii="仿宋" w:hAnsi="仿宋" w:eastAsia="仿宋" w:cs="仿宋"/>
          <w:color w:val="000000" w:themeColor="text1"/>
          <w:sz w:val="32"/>
          <w:szCs w:val="32"/>
          <w14:textFill>
            <w14:solidFill>
              <w14:schemeClr w14:val="tx1"/>
            </w14:solidFill>
          </w14:textFill>
        </w:rPr>
        <w:t>拓展农牧民增收空间。</w:t>
      </w:r>
    </w:p>
    <w:p w14:paraId="2175D51B">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sz w:val="34"/>
          <w:szCs w:val="34"/>
          <w14:textFill>
            <w14:solidFill>
              <w14:schemeClr w14:val="tx1"/>
            </w14:solidFill>
          </w14:textFill>
        </w:rPr>
      </w:pPr>
      <w:bookmarkStart w:id="59" w:name="_Toc58864464"/>
      <w:bookmarkStart w:id="60" w:name="_Toc6185"/>
      <w:bookmarkStart w:id="61" w:name="_Toc27629"/>
      <w:bookmarkStart w:id="62" w:name="_Toc2650"/>
      <w:bookmarkStart w:id="63" w:name="_Toc14653"/>
      <w:bookmarkStart w:id="64" w:name="_Toc17937"/>
      <w:bookmarkStart w:id="65" w:name="_Toc25400"/>
      <w:r>
        <w:rPr>
          <w:rFonts w:hint="eastAsia" w:ascii="黑体" w:hAnsi="黑体" w:eastAsia="黑体" w:cs="黑体"/>
          <w:b w:val="0"/>
          <w:bCs w:val="0"/>
          <w:color w:val="000000" w:themeColor="text1"/>
          <w14:textFill>
            <w14:solidFill>
              <w14:schemeClr w14:val="tx1"/>
            </w14:solidFill>
          </w14:textFill>
        </w:rPr>
        <w:t>二、推进农业绿色</w:t>
      </w:r>
      <w:bookmarkEnd w:id="59"/>
      <w:bookmarkEnd w:id="60"/>
      <w:r>
        <w:rPr>
          <w:rFonts w:hint="eastAsia" w:ascii="黑体" w:hAnsi="黑体" w:eastAsia="黑体" w:cs="黑体"/>
          <w:b w:val="0"/>
          <w:bCs w:val="0"/>
          <w:color w:val="000000" w:themeColor="text1"/>
          <w14:textFill>
            <w14:solidFill>
              <w14:schemeClr w14:val="tx1"/>
            </w14:solidFill>
          </w14:textFill>
        </w:rPr>
        <w:t>化生态化</w:t>
      </w:r>
      <w:bookmarkEnd w:id="61"/>
      <w:bookmarkEnd w:id="62"/>
      <w:bookmarkEnd w:id="63"/>
      <w:bookmarkEnd w:id="64"/>
      <w:bookmarkEnd w:id="65"/>
    </w:p>
    <w:p w14:paraId="34C3B480">
      <w:pPr>
        <w:pageBreakBefore w:val="0"/>
        <w:kinsoku/>
        <w:wordWrap/>
        <w:overflowPunct/>
        <w:topLinePunct w:val="0"/>
        <w:bidi w:val="0"/>
        <w:snapToGrid/>
        <w:spacing w:line="600" w:lineRule="exact"/>
        <w:ind w:firstLine="680"/>
        <w:jc w:val="both"/>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推广应用先进农牧业技术。</w:t>
      </w:r>
      <w:r>
        <w:rPr>
          <w:rFonts w:hint="eastAsia" w:ascii="仿宋" w:hAnsi="仿宋" w:eastAsia="仿宋" w:cs="仿宋"/>
          <w:color w:val="000000" w:themeColor="text1"/>
          <w:sz w:val="32"/>
          <w:szCs w:val="32"/>
          <w14:textFill>
            <w14:solidFill>
              <w14:schemeClr w14:val="tx1"/>
            </w14:solidFill>
          </w14:textFill>
        </w:rPr>
        <w:t>围绕农牧业高质量发展十大行动计划，完善“专家定点联系到乡、农技人员包村联户”工作机制，巩固优化“专家+农技人员+科技示范户+辐射带动户”的技术服务模式，</w:t>
      </w:r>
      <w:r>
        <w:rPr>
          <w:rFonts w:hint="eastAsia" w:ascii="仿宋" w:hAnsi="仿宋" w:eastAsia="仿宋" w:cs="仿宋"/>
          <w:color w:val="000000" w:themeColor="text1"/>
          <w:sz w:val="32"/>
          <w:szCs w:val="32"/>
          <w:lang w:eastAsia="zh-CN"/>
          <w14:textFill>
            <w14:solidFill>
              <w14:schemeClr w14:val="tx1"/>
            </w14:solidFill>
          </w14:textFill>
        </w:rPr>
        <w:t>建设牛羊产业社会服务中心，推行“</w:t>
      </w:r>
      <w:r>
        <w:rPr>
          <w:rFonts w:hint="eastAsia" w:ascii="仿宋" w:hAnsi="仿宋" w:eastAsia="仿宋" w:cs="仿宋"/>
          <w:color w:val="000000" w:themeColor="text1"/>
          <w:sz w:val="32"/>
          <w:szCs w:val="32"/>
          <w:lang w:val="en-US" w:eastAsia="zh-CN"/>
          <w14:textFill>
            <w14:solidFill>
              <w14:schemeClr w14:val="tx1"/>
            </w14:solidFill>
          </w14:textFill>
        </w:rPr>
        <w:t>APP</w:t>
      </w:r>
      <w:r>
        <w:rPr>
          <w:rFonts w:hint="eastAsia" w:ascii="仿宋" w:hAnsi="仿宋" w:eastAsia="仿宋" w:cs="仿宋"/>
          <w:color w:val="000000" w:themeColor="text1"/>
          <w:sz w:val="32"/>
          <w:szCs w:val="32"/>
          <w:lang w:eastAsia="zh-CN"/>
          <w14:textFill>
            <w14:solidFill>
              <w14:schemeClr w14:val="tx1"/>
            </w14:solidFill>
          </w14:textFill>
        </w:rPr>
        <w:t>”线上线下服务模式，</w:t>
      </w:r>
      <w:r>
        <w:rPr>
          <w:rFonts w:hint="eastAsia" w:ascii="仿宋" w:hAnsi="仿宋" w:eastAsia="仿宋" w:cs="仿宋"/>
          <w:color w:val="000000" w:themeColor="text1"/>
          <w:sz w:val="32"/>
          <w:szCs w:val="32"/>
          <w14:textFill>
            <w14:solidFill>
              <w14:schemeClr w14:val="tx1"/>
            </w14:solidFill>
          </w14:textFill>
        </w:rPr>
        <w:t>加强示范推广服务体系建设。大力推广高效灌溉、水肥一体化等种植技术。坚持种植、养殖、加工相结合，北部为养而种、南部为工而种，打通种植、养殖、加工生态绿色循环发展通道。加强试验示范基地建设，打造先进农业技术和良种展示推介平台，吸引农牧民关注技术革新、积极改良生产技术，形成以现代农业示范园区为支撑的农业现代化示范体系。</w:t>
      </w:r>
    </w:p>
    <w:p w14:paraId="4ED65877">
      <w:pPr>
        <w:pageBreakBefore w:val="0"/>
        <w:kinsoku/>
        <w:wordWrap/>
        <w:overflowPunct/>
        <w:topLinePunct w:val="0"/>
        <w:bidi w:val="0"/>
        <w:snapToGrid/>
        <w:spacing w:line="600" w:lineRule="exact"/>
        <w:ind w:firstLine="680"/>
        <w:jc w:val="both"/>
        <w:textAlignment w:val="auto"/>
        <w:rPr>
          <w:rFonts w:hint="eastAsia" w:ascii="仿宋" w:hAnsi="仿宋" w:eastAsia="仿宋" w:cs="仿宋"/>
          <w:color w:val="000000" w:themeColor="text1"/>
          <w:spacing w:val="-4"/>
          <w:kern w:val="0"/>
          <w:sz w:val="32"/>
          <w:szCs w:val="32"/>
          <w14:textFill>
            <w14:solidFill>
              <w14:schemeClr w14:val="tx1"/>
            </w14:solidFill>
          </w14:textFill>
        </w:rPr>
      </w:pPr>
      <w:r>
        <w:rPr>
          <w:rFonts w:hint="eastAsia" w:ascii="仿宋" w:hAnsi="仿宋" w:eastAsia="仿宋" w:cs="仿宋"/>
          <w:b/>
          <w:color w:val="000000" w:themeColor="text1"/>
          <w:spacing w:val="-4"/>
          <w:kern w:val="0"/>
          <w:sz w:val="32"/>
          <w:szCs w:val="32"/>
          <w14:textFill>
            <w14:solidFill>
              <w14:schemeClr w14:val="tx1"/>
            </w14:solidFill>
          </w14:textFill>
        </w:rPr>
        <w:t>改进农业生产方式。</w:t>
      </w:r>
      <w:r>
        <w:rPr>
          <w:rFonts w:hint="eastAsia" w:ascii="仿宋" w:hAnsi="仿宋" w:eastAsia="仿宋" w:cs="仿宋"/>
          <w:color w:val="000000" w:themeColor="text1"/>
          <w:sz w:val="32"/>
          <w:szCs w:val="32"/>
          <w14:textFill>
            <w14:solidFill>
              <w14:schemeClr w14:val="tx1"/>
            </w14:solidFill>
          </w14:textFill>
        </w:rPr>
        <w:t>开展地膜减量回收和化肥农药减量行动，示范推广玉米无膜浅埋滴灌等技术，强制推广使用新国标地膜，开展生物降解地膜示范推广，提高地膜回收机械化水平。深化测土配方施肥技术，</w:t>
      </w:r>
      <w:r>
        <w:rPr>
          <w:rFonts w:hint="eastAsia" w:ascii="仿宋" w:hAnsi="仿宋" w:eastAsia="仿宋" w:cs="仿宋"/>
          <w:color w:val="000000" w:themeColor="text1"/>
          <w:spacing w:val="-4"/>
          <w:kern w:val="0"/>
          <w:sz w:val="32"/>
          <w:szCs w:val="32"/>
          <w14:textFill>
            <w14:solidFill>
              <w14:schemeClr w14:val="tx1"/>
            </w14:solidFill>
          </w14:textFill>
        </w:rPr>
        <w:t>全力推进化肥定额制施用，明确主要农作物化肥使用最高限量，加大商品有机肥推广力度，实现精准测土、科学配肥、减量施肥有机结合，</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到</w:t>
      </w:r>
      <w:r>
        <w:rPr>
          <w:rFonts w:hint="eastAsia" w:ascii="仿宋" w:hAnsi="仿宋" w:eastAsia="仿宋" w:cs="仿宋"/>
          <w:color w:val="000000" w:themeColor="text1"/>
          <w:spacing w:val="-4"/>
          <w:kern w:val="0"/>
          <w:sz w:val="32"/>
          <w:szCs w:val="32"/>
          <w14:textFill>
            <w14:solidFill>
              <w14:schemeClr w14:val="tx1"/>
            </w14:solidFill>
          </w14:textFill>
        </w:rPr>
        <w:t>2025年主要农作物测土配方施肥技术覆盖率达到90%以上。实施“统防统治绿色防控行动”，力争农作物病虫害统防统治（含绿色防控）面积</w:t>
      </w:r>
      <w:r>
        <w:rPr>
          <w:rFonts w:hint="eastAsia" w:ascii="仿宋" w:hAnsi="仿宋" w:eastAsia="仿宋" w:cs="仿宋"/>
          <w:color w:val="000000" w:themeColor="text1"/>
          <w:spacing w:val="-4"/>
          <w:kern w:val="0"/>
          <w:sz w:val="32"/>
          <w:szCs w:val="32"/>
          <w:lang w:val="en-US" w:eastAsia="zh-CN"/>
          <w14:textFill>
            <w14:solidFill>
              <w14:schemeClr w14:val="tx1"/>
            </w14:solidFill>
          </w14:textFill>
        </w:rPr>
        <w:t>超过</w:t>
      </w:r>
      <w:r>
        <w:rPr>
          <w:rFonts w:hint="eastAsia" w:ascii="仿宋" w:hAnsi="仿宋" w:eastAsia="仿宋" w:cs="仿宋"/>
          <w:color w:val="000000" w:themeColor="text1"/>
          <w:spacing w:val="-4"/>
          <w:kern w:val="0"/>
          <w:sz w:val="32"/>
          <w:szCs w:val="32"/>
          <w14:textFill>
            <w14:solidFill>
              <w14:schemeClr w14:val="tx1"/>
            </w14:solidFill>
          </w14:textFill>
        </w:rPr>
        <w:t>350万亩。</w:t>
      </w:r>
      <w:r>
        <w:rPr>
          <w:rFonts w:hint="eastAsia" w:ascii="仿宋" w:hAnsi="仿宋" w:eastAsia="仿宋" w:cs="仿宋"/>
          <w:color w:val="000000" w:themeColor="text1"/>
          <w:sz w:val="32"/>
          <w:szCs w:val="32"/>
          <w14:textFill>
            <w14:solidFill>
              <w14:schemeClr w14:val="tx1"/>
            </w14:solidFill>
          </w14:textFill>
        </w:rPr>
        <w:t>推广旱作水稻种植，</w:t>
      </w:r>
      <w:r>
        <w:rPr>
          <w:rFonts w:hint="eastAsia" w:ascii="仿宋" w:hAnsi="仿宋" w:eastAsia="仿宋" w:cs="仿宋"/>
          <w:color w:val="000000" w:themeColor="text1"/>
          <w:spacing w:val="-4"/>
          <w:kern w:val="0"/>
          <w:sz w:val="32"/>
          <w:szCs w:val="32"/>
          <w14:textFill>
            <w14:solidFill>
              <w14:schemeClr w14:val="tx1"/>
            </w14:solidFill>
          </w14:textFill>
        </w:rPr>
        <w:t>实施“高效节水灌溉工程”，</w:t>
      </w:r>
      <w:r>
        <w:rPr>
          <w:rFonts w:hint="eastAsia" w:ascii="仿宋" w:hAnsi="仿宋" w:eastAsia="仿宋" w:cs="仿宋"/>
          <w:color w:val="000000" w:themeColor="text1"/>
          <w:sz w:val="32"/>
          <w:szCs w:val="32"/>
          <w14:textFill>
            <w14:solidFill>
              <w14:schemeClr w14:val="tx1"/>
            </w14:solidFill>
          </w14:textFill>
        </w:rPr>
        <w:t>提升农业水资源利用率</w:t>
      </w:r>
      <w:r>
        <w:rPr>
          <w:rFonts w:hint="eastAsia" w:ascii="仿宋" w:hAnsi="仿宋" w:eastAsia="仿宋" w:cs="仿宋"/>
          <w:color w:val="000000" w:themeColor="text1"/>
          <w:spacing w:val="-4"/>
          <w:kern w:val="0"/>
          <w:sz w:val="32"/>
          <w:szCs w:val="32"/>
          <w14:textFill>
            <w14:solidFill>
              <w14:schemeClr w14:val="tx1"/>
            </w14:solidFill>
          </w14:textFill>
        </w:rPr>
        <w:t>。</w:t>
      </w:r>
    </w:p>
    <w:p w14:paraId="78A12D6F">
      <w:pPr>
        <w:pageBreakBefore w:val="0"/>
        <w:kinsoku/>
        <w:wordWrap/>
        <w:overflowPunct/>
        <w:topLinePunct w:val="0"/>
        <w:bidi w:val="0"/>
        <w:snapToGrid/>
        <w:spacing w:line="600" w:lineRule="exact"/>
        <w:ind w:firstLine="680"/>
        <w:jc w:val="both"/>
        <w:textAlignment w:val="auto"/>
        <w:rPr>
          <w:rFonts w:hint="eastAsia" w:ascii="仿宋" w:hAnsi="仿宋" w:eastAsia="仿宋" w:cs="仿宋"/>
          <w:color w:val="000000" w:themeColor="text1"/>
          <w:spacing w:val="-4"/>
          <w:kern w:val="0"/>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促进畜牧业集约化发展。</w:t>
      </w:r>
      <w:r>
        <w:rPr>
          <w:rFonts w:hint="eastAsia" w:ascii="仿宋" w:hAnsi="仿宋" w:eastAsia="仿宋" w:cs="仿宋"/>
          <w:color w:val="000000" w:themeColor="text1"/>
          <w:sz w:val="32"/>
          <w:szCs w:val="32"/>
          <w14:textFill>
            <w14:solidFill>
              <w14:schemeClr w14:val="tx1"/>
            </w14:solidFill>
          </w14:textFill>
        </w:rPr>
        <w:t>坚持生态优先、农牧结合、规模适度、优势互补原则，结合国土空间规划，合理确定畜禽养殖空间，提倡中小散户少养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精养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散养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圈养相结合，大力推进规模化、圈舍化、标准化、机械化、智能化养殖。大力发展标准化养殖小区，加强牲畜棚圈、储草棚、青贮窖等基础设施建设，改善养殖业生产设施条件，提高畜牧业综合生产能力，</w:t>
      </w:r>
      <w:r>
        <w:rPr>
          <w:rFonts w:hint="eastAsia" w:ascii="仿宋" w:hAnsi="仿宋" w:eastAsia="仿宋" w:cs="仿宋"/>
          <w:color w:val="000000" w:themeColor="text1"/>
          <w:spacing w:val="-4"/>
          <w:kern w:val="0"/>
          <w:sz w:val="32"/>
          <w:szCs w:val="32"/>
          <w14:textFill>
            <w14:solidFill>
              <w14:schemeClr w14:val="tx1"/>
            </w14:solidFill>
          </w14:textFill>
        </w:rPr>
        <w:t>创建区级畜牧业绿色发展示范区，到2025年畜禽养殖规模化率达到85%以上。</w:t>
      </w:r>
    </w:p>
    <w:p w14:paraId="0F8D471C">
      <w:pPr>
        <w:pageBreakBefore w:val="0"/>
        <w:kinsoku/>
        <w:wordWrap/>
        <w:overflowPunct/>
        <w:topLinePunct w:val="0"/>
        <w:bidi w:val="0"/>
        <w:snapToGrid/>
        <w:spacing w:line="600" w:lineRule="exact"/>
        <w:ind w:firstLine="680"/>
        <w:jc w:val="both"/>
        <w:textAlignment w:val="auto"/>
        <w:rPr>
          <w:rFonts w:hint="eastAsia" w:ascii="仿宋" w:hAnsi="仿宋" w:eastAsia="仿宋" w:cs="仿宋"/>
          <w:color w:val="000000" w:themeColor="text1"/>
          <w:spacing w:val="-4"/>
          <w:kern w:val="0"/>
          <w:sz w:val="32"/>
          <w:szCs w:val="32"/>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提升</w:t>
      </w:r>
      <w:r>
        <w:rPr>
          <w:rFonts w:hint="eastAsia" w:ascii="仿宋" w:hAnsi="仿宋" w:eastAsia="仿宋" w:cs="仿宋"/>
          <w:b/>
          <w:bCs/>
          <w:color w:val="000000" w:themeColor="text1"/>
          <w:sz w:val="32"/>
          <w:szCs w:val="32"/>
          <w14:textFill>
            <w14:solidFill>
              <w14:schemeClr w14:val="tx1"/>
            </w14:solidFill>
          </w14:textFill>
        </w:rPr>
        <w:t>秸秆综合利用水平。</w:t>
      </w:r>
      <w:r>
        <w:rPr>
          <w:rFonts w:hint="eastAsia" w:ascii="仿宋" w:hAnsi="仿宋" w:eastAsia="仿宋" w:cs="仿宋"/>
          <w:color w:val="000000" w:themeColor="text1"/>
          <w:sz w:val="32"/>
          <w:szCs w:val="32"/>
          <w14:textFill>
            <w14:solidFill>
              <w14:schemeClr w14:val="tx1"/>
            </w14:solidFill>
          </w14:textFill>
        </w:rPr>
        <w:t>建立健全秸秆收储运体系，提升秸秆粉碎和饲料化比重。鼓励和引进秸秆转化加工企业，逐步培育秸秆利用产业化主体。推广秸秆饲料化、燃料化、肥料化等多元利用模式，秸秆综合利用率提升到90%。</w:t>
      </w:r>
    </w:p>
    <w:p w14:paraId="34F81AE1">
      <w:pPr>
        <w:pageBreakBefore w:val="0"/>
        <w:kinsoku/>
        <w:wordWrap/>
        <w:overflowPunct/>
        <w:topLinePunct w:val="0"/>
        <w:bidi w:val="0"/>
        <w:snapToGrid/>
        <w:spacing w:line="600" w:lineRule="exact"/>
        <w:ind w:firstLine="68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推进畜禽养殖废弃物资源化利用。</w:t>
      </w:r>
      <w:r>
        <w:rPr>
          <w:rFonts w:hint="eastAsia" w:ascii="仿宋" w:hAnsi="仿宋" w:eastAsia="仿宋" w:cs="仿宋"/>
          <w:color w:val="000000" w:themeColor="text1"/>
          <w:sz w:val="32"/>
          <w:szCs w:val="32"/>
          <w14:textFill>
            <w14:solidFill>
              <w14:schemeClr w14:val="tx1"/>
            </w14:solidFill>
          </w14:textFill>
        </w:rPr>
        <w:t>严格落实污染治理措施，</w:t>
      </w:r>
      <w:r>
        <w:rPr>
          <w:rFonts w:hint="eastAsia" w:ascii="仿宋" w:hAnsi="仿宋" w:eastAsia="仿宋" w:cs="仿宋"/>
          <w:color w:val="000000" w:themeColor="text1"/>
          <w:spacing w:val="-4"/>
          <w:kern w:val="0"/>
          <w:sz w:val="32"/>
          <w:szCs w:val="32"/>
          <w14:textFill>
            <w14:solidFill>
              <w14:schemeClr w14:val="tx1"/>
            </w14:solidFill>
          </w14:textFill>
        </w:rPr>
        <w:t>实施“畜禽养殖场污染治理设施提标改造工程”，</w:t>
      </w:r>
      <w:r>
        <w:rPr>
          <w:rFonts w:hint="eastAsia" w:ascii="仿宋" w:hAnsi="仿宋" w:eastAsia="仿宋" w:cs="仿宋"/>
          <w:color w:val="000000" w:themeColor="text1"/>
          <w:sz w:val="32"/>
          <w:szCs w:val="32"/>
          <w14:textFill>
            <w14:solidFill>
              <w14:schemeClr w14:val="tx1"/>
            </w14:solidFill>
          </w14:textFill>
        </w:rPr>
        <w:t>完善粪污资源化利用设施，鼓励粪肥利用社会化服务主体与种植主体有效衔接，推进粪肥就地就近还田利用。建设种养结合示范基地，</w:t>
      </w:r>
      <w:r>
        <w:rPr>
          <w:rFonts w:hint="eastAsia" w:ascii="仿宋" w:hAnsi="仿宋" w:eastAsia="仿宋" w:cs="仿宋"/>
          <w:color w:val="000000" w:themeColor="text1"/>
          <w:sz w:val="32"/>
          <w:szCs w:val="32"/>
          <w:lang w:val="en-US" w:eastAsia="zh-CN"/>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种养结合生态循环机制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打造</w:t>
      </w:r>
      <w:r>
        <w:rPr>
          <w:rFonts w:hint="eastAsia" w:ascii="仿宋" w:hAnsi="仿宋" w:eastAsia="仿宋" w:cs="仿宋"/>
          <w:color w:val="000000" w:themeColor="text1"/>
          <w:sz w:val="32"/>
          <w:szCs w:val="32"/>
          <w:lang w:eastAsia="zh-CN"/>
          <w14:textFill>
            <w14:solidFill>
              <w14:schemeClr w14:val="tx1"/>
            </w14:solidFill>
          </w14:textFill>
        </w:rPr>
        <w:t>生态循环农业示范区。</w:t>
      </w:r>
      <w:r>
        <w:rPr>
          <w:rFonts w:hint="eastAsia" w:ascii="仿宋" w:hAnsi="仿宋" w:eastAsia="仿宋" w:cs="仿宋"/>
          <w:color w:val="000000" w:themeColor="text1"/>
          <w:spacing w:val="-4"/>
          <w:kern w:val="0"/>
          <w:sz w:val="32"/>
          <w:szCs w:val="32"/>
          <w14:textFill>
            <w14:solidFill>
              <w14:schemeClr w14:val="tx1"/>
            </w14:solidFill>
          </w14:textFill>
        </w:rPr>
        <w:t>进一步规范养殖污染治理线上线下长效防控机制，推行网格化巡查APP，确保不发生养殖污染事件。</w:t>
      </w:r>
      <w:r>
        <w:rPr>
          <w:rFonts w:hint="eastAsia" w:ascii="仿宋" w:hAnsi="仿宋" w:eastAsia="仿宋" w:cs="仿宋"/>
          <w:color w:val="000000" w:themeColor="text1"/>
          <w:sz w:val="32"/>
          <w:szCs w:val="32"/>
          <w14:textFill>
            <w14:solidFill>
              <w14:schemeClr w14:val="tx1"/>
            </w14:solidFill>
          </w14:textFill>
        </w:rPr>
        <w:t>到2025年，全旗畜禽养殖粪污资源化综合利用水平达到</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%以上。</w:t>
      </w:r>
    </w:p>
    <w:p w14:paraId="1125DA8A">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强化农畜产品质量安全监管</w:t>
      </w:r>
      <w:r>
        <w:rPr>
          <w:rFonts w:hint="eastAsia" w:ascii="仿宋" w:hAnsi="仿宋" w:eastAsia="仿宋" w:cs="仿宋"/>
          <w:color w:val="000000" w:themeColor="text1"/>
          <w:sz w:val="32"/>
          <w:szCs w:val="32"/>
          <w14:textFill>
            <w14:solidFill>
              <w14:schemeClr w14:val="tx1"/>
            </w14:solidFill>
          </w14:textFill>
        </w:rPr>
        <w:t>。围绕肉牛、肉羊、</w:t>
      </w:r>
      <w:r>
        <w:rPr>
          <w:rFonts w:hint="eastAsia" w:ascii="仿宋" w:hAnsi="仿宋" w:eastAsia="仿宋" w:cs="仿宋"/>
          <w:color w:val="000000" w:themeColor="text1"/>
          <w:sz w:val="32"/>
          <w:szCs w:val="32"/>
          <w:lang w:eastAsia="zh-CN"/>
          <w14:textFill>
            <w14:solidFill>
              <w14:schemeClr w14:val="tx1"/>
            </w14:solidFill>
          </w14:textFill>
        </w:rPr>
        <w:t>生猪、</w:t>
      </w:r>
      <w:r>
        <w:rPr>
          <w:rFonts w:hint="eastAsia" w:ascii="仿宋" w:hAnsi="仿宋" w:eastAsia="仿宋" w:cs="仿宋"/>
          <w:color w:val="000000" w:themeColor="text1"/>
          <w:sz w:val="32"/>
          <w:szCs w:val="32"/>
          <w14:textFill>
            <w14:solidFill>
              <w14:schemeClr w14:val="tx1"/>
            </w14:solidFill>
          </w14:textFill>
        </w:rPr>
        <w:t>玉米、水稻、杂粮杂豆等特色优势产业，建立农畜产品全程质量控制技术标准体系，确保“从基地到餐桌”的生产、加工、储藏、运输全过程质量可控。以龙头企业、标准化生产基地和各级质检站为依托，建设产地环境、投入品、农产品生产过程质检体系和网络信息报送平台。推进生态环境监测信息与农产品追溯信息整合运用，加强种子、化肥、农药、兽药、饲料添加剂监管力度。提高农畜产品质量安全监管执法能力，强化责任追究，严厉打击非法添加、以次充好、制假售假等违法行为。</w:t>
      </w:r>
    </w:p>
    <w:p w14:paraId="663277A5">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健全动物疫病防疫体系。</w:t>
      </w:r>
      <w:r>
        <w:rPr>
          <w:rFonts w:hint="eastAsia" w:ascii="仿宋" w:hAnsi="仿宋" w:eastAsia="仿宋" w:cs="仿宋"/>
          <w:color w:val="000000" w:themeColor="text1"/>
          <w:sz w:val="32"/>
          <w:szCs w:val="32"/>
          <w14:textFill>
            <w14:solidFill>
              <w14:schemeClr w14:val="tx1"/>
            </w14:solidFill>
          </w14:textFill>
        </w:rPr>
        <w:t>加大口蹄疫、非洲猪瘟等重大动物疫病防控力度，加强布病、结核病、包虫病、狂犬病等人畜共患病防治力度，提升动物疫病监测预警和动物防疫监管服务能力，提高动</w:t>
      </w:r>
      <w:r>
        <w:rPr>
          <w:rFonts w:hint="eastAsia" w:ascii="仿宋" w:hAnsi="仿宋" w:eastAsia="仿宋" w:cs="仿宋"/>
          <w:b w:val="0"/>
          <w:bCs w:val="0"/>
          <w:color w:val="000000" w:themeColor="text1"/>
          <w:sz w:val="32"/>
          <w:szCs w:val="32"/>
          <w14:textFill>
            <w14:solidFill>
              <w14:schemeClr w14:val="tx1"/>
            </w14:solidFill>
          </w14:textFill>
        </w:rPr>
        <w:t>物疫病标准化防控水平</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确保不发生大规模动物疫病事件。</w:t>
      </w:r>
      <w:r>
        <w:rPr>
          <w:rFonts w:hint="eastAsia" w:ascii="仿宋" w:hAnsi="仿宋" w:eastAsia="仿宋" w:cs="仿宋"/>
          <w:color w:val="000000" w:themeColor="text1"/>
          <w:sz w:val="32"/>
          <w:szCs w:val="32"/>
          <w14:textFill>
            <w14:solidFill>
              <w14:schemeClr w14:val="tx1"/>
            </w14:solidFill>
          </w14:textFill>
        </w:rPr>
        <w:t>加强动物卫生监督执法，实施跨省、跨市调运动物和动物产品指定通道制度，严防动物疫情传入。实施官方兽医制度，全面提升兽医公共服务和社会化服务水平。</w:t>
      </w:r>
    </w:p>
    <w:p w14:paraId="1BE6533F">
      <w:pPr>
        <w:pStyle w:val="5"/>
        <w:pageBreakBefore w:val="0"/>
        <w:kinsoku/>
        <w:wordWrap/>
        <w:overflowPunct/>
        <w:topLinePunct w:val="0"/>
        <w:bidi w:val="0"/>
        <w:snapToGrid/>
        <w:spacing w:line="600" w:lineRule="exact"/>
        <w:ind w:firstLineChars="0"/>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　三、培育壮大农畜产品品牌</w:t>
      </w:r>
    </w:p>
    <w:p w14:paraId="1D1243E3">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充分发挥绿色种植养殖和生态优势，实施区域品牌、产业品牌、企业品牌、产品品牌“四位一体”品牌战略，</w:t>
      </w:r>
      <w:r>
        <w:rPr>
          <w:rFonts w:hint="eastAsia" w:ascii="仿宋" w:hAnsi="仿宋" w:eastAsia="仿宋" w:cs="仿宋"/>
          <w:color w:val="000000" w:themeColor="text1"/>
          <w:sz w:val="32"/>
          <w:szCs w:val="32"/>
          <w:lang w:val="en-US" w:eastAsia="zh-CN"/>
          <w14:textFill>
            <w14:solidFill>
              <w14:schemeClr w14:val="tx1"/>
            </w14:solidFill>
          </w14:textFill>
        </w:rPr>
        <w:t>推进扎赉特旗实施</w:t>
      </w:r>
      <w:r>
        <w:rPr>
          <w:rFonts w:hint="eastAsia" w:ascii="仿宋" w:hAnsi="仿宋" w:eastAsia="仿宋" w:cs="仿宋"/>
          <w:color w:val="000000" w:themeColor="text1"/>
          <w:sz w:val="32"/>
          <w:szCs w:val="32"/>
          <w14:textFill>
            <w14:solidFill>
              <w14:schemeClr w14:val="tx1"/>
            </w14:solidFill>
          </w14:textFill>
        </w:rPr>
        <w:t>高品质绿色农畜产品区域公用品牌建设工程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打造名、精、优农畜产品品牌。引导企业积极申报知名商标、著名商标，争创“中国驰名商标”。申报“扎赉特牛肉”“扎赉特羊肉”“扎赉特中草药”“扎赉特木耳”</w:t>
      </w:r>
      <w:r>
        <w:rPr>
          <w:rFonts w:hint="eastAsia" w:ascii="仿宋" w:hAnsi="仿宋" w:eastAsia="仿宋" w:cs="仿宋"/>
          <w:color w:val="000000" w:themeColor="text1"/>
          <w:sz w:val="32"/>
          <w:szCs w:val="32"/>
          <w:lang w:eastAsia="zh-CN"/>
          <w14:textFill>
            <w14:solidFill>
              <w14:schemeClr w14:val="tx1"/>
            </w14:solidFill>
          </w14:textFill>
        </w:rPr>
        <w:t>“扎赉特杂粮”</w:t>
      </w:r>
      <w:r>
        <w:rPr>
          <w:rFonts w:hint="eastAsia" w:ascii="仿宋" w:hAnsi="仿宋" w:eastAsia="仿宋" w:cs="仿宋"/>
          <w:color w:val="000000" w:themeColor="text1"/>
          <w:sz w:val="32"/>
          <w:szCs w:val="32"/>
          <w14:textFill>
            <w14:solidFill>
              <w14:schemeClr w14:val="tx1"/>
            </w14:solidFill>
          </w14:textFill>
        </w:rPr>
        <w:t>等10个地理标志商标，打造全国驰名农产品商标1个、自治区著名农产品商标2个。</w:t>
      </w:r>
      <w:r>
        <w:rPr>
          <w:rFonts w:hint="eastAsia" w:ascii="仿宋" w:hAnsi="仿宋" w:eastAsia="仿宋" w:cs="仿宋"/>
          <w:color w:val="000000" w:themeColor="text1"/>
          <w:sz w:val="32"/>
          <w:szCs w:val="32"/>
          <w:lang w:val="en-US" w:eastAsia="zh-CN"/>
          <w14:textFill>
            <w14:solidFill>
              <w14:schemeClr w14:val="tx1"/>
            </w14:solidFill>
          </w14:textFill>
        </w:rPr>
        <w:t>支持企业</w:t>
      </w:r>
      <w:r>
        <w:rPr>
          <w:rFonts w:hint="eastAsia" w:ascii="仿宋" w:hAnsi="仿宋" w:eastAsia="仿宋" w:cs="仿宋"/>
          <w:color w:val="000000" w:themeColor="text1"/>
          <w:sz w:val="32"/>
          <w:szCs w:val="32"/>
          <w14:textFill>
            <w14:solidFill>
              <w14:schemeClr w14:val="tx1"/>
            </w14:solidFill>
          </w14:textFill>
        </w:rPr>
        <w:t>参加名优农产品交易会、展销会，在一线城市设立专营店、进驻超市专柜，加强与全国知名电商平台合作，实现扎赉特绿色农畜产品全面进入一线城市餐桌，不断提升品牌影响力和市场竞争力。</w:t>
      </w:r>
    </w:p>
    <w:p w14:paraId="25B19461">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i w:val="0"/>
          <w:iCs w:val="0"/>
          <w:color w:val="000000" w:themeColor="text1"/>
          <w14:textFill>
            <w14:solidFill>
              <w14:schemeClr w14:val="tx1"/>
            </w14:solidFill>
          </w14:textFill>
        </w:rPr>
      </w:pPr>
      <w:bookmarkStart w:id="66" w:name="_Toc61280821"/>
      <w:r>
        <w:rPr>
          <w:rFonts w:hint="eastAsia" w:ascii="黑体" w:hAnsi="黑体" w:eastAsia="黑体" w:cs="黑体"/>
          <w:b w:val="0"/>
          <w:bCs w:val="0"/>
          <w:i w:val="0"/>
          <w:iCs w:val="0"/>
          <w:color w:val="000000" w:themeColor="text1"/>
          <w14:textFill>
            <w14:solidFill>
              <w14:schemeClr w14:val="tx1"/>
            </w14:solidFill>
          </w14:textFill>
        </w:rPr>
        <w:t>四、</w:t>
      </w:r>
      <w:bookmarkEnd w:id="66"/>
      <w:bookmarkStart w:id="67" w:name="_Toc3093"/>
      <w:r>
        <w:rPr>
          <w:rFonts w:hint="eastAsia" w:ascii="黑体" w:hAnsi="黑体" w:eastAsia="黑体" w:cs="黑体"/>
          <w:b w:val="0"/>
          <w:bCs w:val="0"/>
          <w:i w:val="0"/>
          <w:iCs w:val="0"/>
          <w:color w:val="000000" w:themeColor="text1"/>
          <w14:textFill>
            <w14:solidFill>
              <w14:schemeClr w14:val="tx1"/>
            </w14:solidFill>
          </w14:textFill>
        </w:rPr>
        <w:t>实施现代种业提升工程</w:t>
      </w:r>
      <w:bookmarkEnd w:id="67"/>
    </w:p>
    <w:p w14:paraId="35EA1653">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建立健全商业化育种体系。</w:t>
      </w:r>
      <w:r>
        <w:rPr>
          <w:rFonts w:hint="eastAsia" w:ascii="仿宋" w:hAnsi="仿宋" w:eastAsia="仿宋" w:cs="仿宋"/>
          <w:color w:val="000000" w:themeColor="text1"/>
          <w:sz w:val="32"/>
          <w:szCs w:val="32"/>
          <w14:textFill>
            <w14:solidFill>
              <w14:schemeClr w14:val="tx1"/>
            </w14:solidFill>
          </w14:textFill>
        </w:rPr>
        <w:t>充分利用我旗人力资源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自然资源、技术资源、气候资源优势，建立以企业为主导的种子创新体系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加大政策扶持力度，吸引高层次农业科研机构和高校农牧业院系（所），在扎赉特旗建立试验田、试验场，培育适合本地自然气候条件、抗病疫能力强、产出价值高的优良稻种、玉米种、草种、树种、</w:t>
      </w:r>
      <w:r>
        <w:rPr>
          <w:rFonts w:hint="eastAsia" w:ascii="仿宋" w:hAnsi="仿宋" w:eastAsia="仿宋" w:cs="仿宋"/>
          <w:color w:val="000000" w:themeColor="text1"/>
          <w:sz w:val="32"/>
          <w:szCs w:val="32"/>
          <w:lang w:eastAsia="zh-CN"/>
          <w14:textFill>
            <w14:solidFill>
              <w14:schemeClr w14:val="tx1"/>
            </w14:solidFill>
          </w14:textFill>
        </w:rPr>
        <w:t>中草药良种、</w:t>
      </w:r>
      <w:r>
        <w:rPr>
          <w:rFonts w:hint="eastAsia" w:ascii="仿宋" w:hAnsi="仿宋" w:eastAsia="仿宋" w:cs="仿宋"/>
          <w:color w:val="000000" w:themeColor="text1"/>
          <w:sz w:val="32"/>
          <w:szCs w:val="32"/>
          <w14:textFill>
            <w14:solidFill>
              <w14:schemeClr w14:val="tx1"/>
            </w14:solidFill>
          </w14:textFill>
        </w:rPr>
        <w:t>畜禽</w:t>
      </w:r>
      <w:r>
        <w:rPr>
          <w:rFonts w:hint="eastAsia" w:ascii="仿宋" w:hAnsi="仿宋" w:eastAsia="仿宋" w:cs="仿宋"/>
          <w:color w:val="000000" w:themeColor="text1"/>
          <w:sz w:val="32"/>
          <w:szCs w:val="32"/>
          <w:lang w:eastAsia="zh-CN"/>
          <w14:textFill>
            <w14:solidFill>
              <w14:schemeClr w14:val="tx1"/>
            </w14:solidFill>
          </w14:textFill>
        </w:rPr>
        <w:t>良</w:t>
      </w:r>
      <w:r>
        <w:rPr>
          <w:rFonts w:hint="eastAsia" w:ascii="仿宋" w:hAnsi="仿宋" w:eastAsia="仿宋" w:cs="仿宋"/>
          <w:color w:val="000000" w:themeColor="text1"/>
          <w:sz w:val="32"/>
          <w:szCs w:val="32"/>
          <w14:textFill>
            <w14:solidFill>
              <w14:schemeClr w14:val="tx1"/>
            </w14:solidFill>
          </w14:textFill>
        </w:rPr>
        <w:t>种</w:t>
      </w:r>
      <w:r>
        <w:rPr>
          <w:rFonts w:hint="eastAsia" w:ascii="仿宋" w:hAnsi="仿宋" w:eastAsia="仿宋" w:cs="仿宋"/>
          <w:color w:val="000000" w:themeColor="text1"/>
          <w:sz w:val="32"/>
          <w:szCs w:val="32"/>
          <w:lang w:eastAsia="zh-CN"/>
          <w14:textFill>
            <w14:solidFill>
              <w14:schemeClr w14:val="tx1"/>
            </w14:solidFill>
          </w14:textFill>
        </w:rPr>
        <w:t>。</w:t>
      </w:r>
    </w:p>
    <w:p w14:paraId="423B0CBF">
      <w:pPr>
        <w:pageBreakBefore w:val="0"/>
        <w:kinsoku/>
        <w:wordWrap/>
        <w:overflowPunct/>
        <w:topLinePunct w:val="0"/>
        <w:bidi w:val="0"/>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强化品种创新力度。</w:t>
      </w:r>
      <w:r>
        <w:rPr>
          <w:rFonts w:hint="eastAsia" w:ascii="仿宋" w:hAnsi="仿宋" w:eastAsia="仿宋" w:cs="仿宋"/>
          <w:color w:val="000000" w:themeColor="text1"/>
          <w:sz w:val="32"/>
          <w:szCs w:val="32"/>
          <w14:textFill>
            <w14:solidFill>
              <w14:schemeClr w14:val="tx1"/>
            </w14:solidFill>
          </w14:textFill>
        </w:rPr>
        <w:t>促进种业在品种管理、新品种保护、种质资源调查、种质资源保护和利用有所突破，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十四五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期间，</w:t>
      </w:r>
      <w:r>
        <w:rPr>
          <w:rFonts w:hint="eastAsia" w:ascii="仿宋" w:hAnsi="仿宋" w:eastAsia="仿宋" w:cs="仿宋"/>
          <w:color w:val="000000" w:themeColor="text1"/>
          <w:sz w:val="32"/>
          <w:szCs w:val="32"/>
          <w14:textFill>
            <w14:solidFill>
              <w14:schemeClr w14:val="tx1"/>
            </w14:solidFill>
          </w14:textFill>
        </w:rPr>
        <w:t>推出</w:t>
      </w:r>
      <w:r>
        <w:rPr>
          <w:rFonts w:hint="eastAsia" w:ascii="仿宋" w:hAnsi="仿宋" w:eastAsia="仿宋" w:cs="仿宋"/>
          <w:color w:val="000000" w:themeColor="text1"/>
          <w:sz w:val="32"/>
          <w:szCs w:val="32"/>
          <w:lang w:val="en-US" w:eastAsia="zh-CN"/>
          <w14:textFill>
            <w14:solidFill>
              <w14:schemeClr w14:val="tx1"/>
            </w14:solidFill>
          </w14:textFill>
        </w:rPr>
        <w:t>5个以上</w:t>
      </w:r>
      <w:r>
        <w:rPr>
          <w:rFonts w:hint="eastAsia" w:ascii="仿宋" w:hAnsi="仿宋" w:eastAsia="仿宋" w:cs="仿宋"/>
          <w:color w:val="000000" w:themeColor="text1"/>
          <w:sz w:val="32"/>
          <w:szCs w:val="32"/>
          <w14:textFill>
            <w14:solidFill>
              <w14:schemeClr w14:val="tx1"/>
            </w14:solidFill>
          </w14:textFill>
        </w:rPr>
        <w:t>具有独立知识产权的玉米、水稻、肉牛、肉羊新品种。</w:t>
      </w:r>
    </w:p>
    <w:p w14:paraId="000DCF19">
      <w:pPr>
        <w:pageBreakBefore w:val="0"/>
        <w:kinsoku/>
        <w:wordWrap/>
        <w:overflowPunct/>
        <w:topLinePunct w:val="0"/>
        <w:bidi w:val="0"/>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提高良种覆盖率和供种市场化率。</w:t>
      </w:r>
      <w:r>
        <w:rPr>
          <w:rFonts w:hint="eastAsia" w:ascii="仿宋" w:hAnsi="仿宋" w:eastAsia="仿宋" w:cs="仿宋"/>
          <w:color w:val="000000" w:themeColor="text1"/>
          <w:sz w:val="32"/>
          <w:szCs w:val="32"/>
          <w14:textFill>
            <w14:solidFill>
              <w14:schemeClr w14:val="tx1"/>
            </w14:solidFill>
          </w14:textFill>
        </w:rPr>
        <w:t>重点提高以水稻、大豆、玉米为主的常规种供种水平，良种覆盖率保持在90%以上，市场化率达到70%以上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其中以玉米为主的杂交种良种覆盖率和市场化率</w:t>
      </w:r>
      <w:r>
        <w:rPr>
          <w:rFonts w:hint="eastAsia" w:ascii="仿宋" w:hAnsi="仿宋" w:eastAsia="仿宋" w:cs="仿宋"/>
          <w:color w:val="000000" w:themeColor="text1"/>
          <w:sz w:val="32"/>
          <w:szCs w:val="32"/>
          <w:lang w:val="en-US" w:eastAsia="zh-CN"/>
          <w14:textFill>
            <w14:solidFill>
              <w14:schemeClr w14:val="tx1"/>
            </w14:solidFill>
          </w14:textFill>
        </w:rPr>
        <w:t>始终</w:t>
      </w:r>
      <w:r>
        <w:rPr>
          <w:rFonts w:hint="eastAsia" w:ascii="仿宋" w:hAnsi="仿宋" w:eastAsia="仿宋" w:cs="仿宋"/>
          <w:color w:val="000000" w:themeColor="text1"/>
          <w:sz w:val="32"/>
          <w:szCs w:val="32"/>
          <w14:textFill>
            <w14:solidFill>
              <w14:schemeClr w14:val="tx1"/>
            </w14:solidFill>
          </w14:textFill>
        </w:rPr>
        <w:t>保持100%，规范林木种苗基地建设，以国有小城子林场为重点，培育本土优质苗木和珍</w:t>
      </w:r>
      <w:r>
        <w:rPr>
          <w:rFonts w:hint="eastAsia" w:ascii="仿宋" w:hAnsi="仿宋" w:eastAsia="仿宋" w:cs="仿宋"/>
          <w:color w:val="000000" w:themeColor="text1"/>
          <w:sz w:val="32"/>
          <w:szCs w:val="32"/>
          <w:lang w:eastAsia="zh-CN"/>
          <w14:textFill>
            <w14:solidFill>
              <w14:schemeClr w14:val="tx1"/>
            </w14:solidFill>
          </w14:textFill>
        </w:rPr>
        <w:t>稀</w:t>
      </w:r>
      <w:r>
        <w:rPr>
          <w:rFonts w:hint="eastAsia" w:ascii="仿宋" w:hAnsi="仿宋" w:eastAsia="仿宋" w:cs="仿宋"/>
          <w:color w:val="000000" w:themeColor="text1"/>
          <w:sz w:val="32"/>
          <w:szCs w:val="32"/>
          <w14:textFill>
            <w14:solidFill>
              <w14:schemeClr w14:val="tx1"/>
            </w14:solidFill>
          </w14:textFill>
        </w:rPr>
        <w:t>树种。到2025年，林木种子年产量保持在1.5万公斤以上，育苗面积达到1.05万亩以上，苗木在圃量5000万株，年出圃苗木达到</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000万株以上。申请樟子松、黄菠萝成为自治区级林木良种，加大良种推广力度，工程造林中良种使用率达到20%以上。</w:t>
      </w:r>
    </w:p>
    <w:p w14:paraId="76249368">
      <w:pPr>
        <w:pageBreakBefore w:val="0"/>
        <w:kinsoku/>
        <w:wordWrap/>
        <w:overflowPunct/>
        <w:topLinePunct w:val="0"/>
        <w:bidi w:val="0"/>
        <w:snapToGrid/>
        <w:spacing w:line="600" w:lineRule="exact"/>
        <w:ind w:firstLine="680"/>
        <w:textAlignment w:val="auto"/>
        <w:rPr>
          <w:rFonts w:hint="eastAsia" w:ascii="仿宋" w:hAnsi="仿宋" w:eastAsia="仿宋" w:cs="仿宋"/>
          <w:color w:val="000000" w:themeColor="text1"/>
          <w:sz w:val="32"/>
          <w:szCs w:val="32"/>
          <w14:textFill>
            <w14:solidFill>
              <w14:schemeClr w14:val="tx1"/>
            </w14:solidFill>
          </w14:textFill>
        </w:rPr>
      </w:pPr>
      <w:bookmarkStart w:id="68" w:name="_Toc18066"/>
      <w:bookmarkStart w:id="69" w:name="_Toc1675"/>
      <w:bookmarkStart w:id="70" w:name="_Toc4957"/>
      <w:bookmarkStart w:id="71" w:name="_Toc8904"/>
      <w:bookmarkStart w:id="72" w:name="_Toc58864465"/>
      <w:bookmarkStart w:id="73" w:name="_Toc17207"/>
      <w:bookmarkStart w:id="74" w:name="_Toc16984"/>
      <w:r>
        <w:rPr>
          <w:rFonts w:hint="eastAsia" w:ascii="仿宋" w:hAnsi="仿宋" w:eastAsia="仿宋" w:cs="仿宋"/>
          <w:b/>
          <w:color w:val="000000" w:themeColor="text1"/>
          <w:sz w:val="32"/>
          <w:szCs w:val="32"/>
          <w14:textFill>
            <w14:solidFill>
              <w14:schemeClr w14:val="tx1"/>
            </w14:solidFill>
          </w14:textFill>
        </w:rPr>
        <w:t>培育壮大农业经营主体</w:t>
      </w:r>
      <w:bookmarkEnd w:id="68"/>
      <w:bookmarkEnd w:id="69"/>
      <w:bookmarkEnd w:id="70"/>
      <w:bookmarkEnd w:id="71"/>
      <w:bookmarkEnd w:id="72"/>
      <w:bookmarkEnd w:id="73"/>
      <w:bookmarkEnd w:id="74"/>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完善农企利益联结机制，持续培育壮大农牧业产业化龙头企业，重点扶持一批行业领军企业。按照“龙头企业+农牧民专业合作社+家庭农牧场”的组织形式，打造一批集种养、加工、物流、销售等为一体的农牧业产业化联合体。到2025年农企紧密型利益联结比例达到90%。</w:t>
      </w:r>
    </w:p>
    <w:p w14:paraId="03E7B356">
      <w:pPr>
        <w:pStyle w:val="2"/>
        <w:rPr>
          <w:rFonts w:hint="eastAsia"/>
        </w:rPr>
      </w:pPr>
    </w:p>
    <w:tbl>
      <w:tblPr>
        <w:tblStyle w:val="14"/>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6EB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06" w:type="dxa"/>
          </w:tcPr>
          <w:p w14:paraId="0D61735A">
            <w:pPr>
              <w:widowControl w:val="0"/>
              <w:spacing w:line="360" w:lineRule="auto"/>
              <w:ind w:firstLine="2400"/>
              <w:jc w:val="both"/>
              <w:rPr>
                <w:rFonts w:hint="eastAsia" w:ascii="仿宋" w:hAnsi="仿宋" w:eastAsia="仿宋" w:cs="仿宋"/>
                <w:b/>
                <w:bCs/>
                <w:color w:val="000000" w:themeColor="text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专栏3:农牧业基地项目　</w:t>
            </w:r>
          </w:p>
        </w:tc>
      </w:tr>
      <w:tr w14:paraId="789A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6" w:type="dxa"/>
          </w:tcPr>
          <w:p w14:paraId="37840F4B">
            <w:pPr>
              <w:keepNext w:val="0"/>
              <w:keepLines w:val="0"/>
              <w:pageBreakBefore w:val="0"/>
              <w:widowControl w:val="0"/>
              <w:kinsoku/>
              <w:wordWrap/>
              <w:overflowPunct/>
              <w:topLinePunct w:val="0"/>
              <w:bidi w:val="0"/>
              <w:snapToGrid/>
              <w:spacing w:line="440" w:lineRule="exact"/>
              <w:jc w:val="left"/>
              <w:textAlignment w:val="auto"/>
              <w:outlineLvl w:val="9"/>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w:t>
            </w:r>
            <w:r>
              <w:rPr>
                <w:rFonts w:hint="eastAsia" w:asciiTheme="minorEastAsia" w:hAnsiTheme="minorEastAsia" w:eastAsiaTheme="minorEastAsia" w:cstheme="minorEastAsia"/>
                <w:b/>
                <w:bCs/>
                <w:color w:val="000000" w:themeColor="text1"/>
                <w14:textFill>
                  <w14:solidFill>
                    <w14:schemeClr w14:val="tx1"/>
                  </w14:solidFill>
                </w14:textFill>
              </w:rPr>
              <w:t>一、</w:t>
            </w:r>
            <w:r>
              <w:rPr>
                <w:rFonts w:hint="eastAsia" w:asciiTheme="minorEastAsia" w:hAnsiTheme="minorEastAsia" w:cstheme="minorEastAsia"/>
                <w:b/>
                <w:bCs/>
                <w:color w:val="000000" w:themeColor="text1"/>
                <w:lang w:eastAsia="zh-CN"/>
                <w14:textFill>
                  <w14:solidFill>
                    <w14:schemeClr w14:val="tx1"/>
                  </w14:solidFill>
                </w14:textFill>
              </w:rPr>
              <w:t>壮大农牧业生产</w:t>
            </w:r>
            <w:r>
              <w:rPr>
                <w:rFonts w:hint="eastAsia" w:asciiTheme="minorEastAsia" w:hAnsiTheme="minorEastAsia" w:eastAsiaTheme="minorEastAsia" w:cstheme="minorEastAsia"/>
                <w:b/>
                <w:bCs/>
                <w:color w:val="000000" w:themeColor="text1"/>
                <w14:textFill>
                  <w14:solidFill>
                    <w14:schemeClr w14:val="tx1"/>
                  </w14:solidFill>
                </w14:textFill>
              </w:rPr>
              <w:t>基地建设</w:t>
            </w:r>
          </w:p>
          <w:p w14:paraId="1BAE0E4B">
            <w:pPr>
              <w:keepNext w:val="0"/>
              <w:keepLines w:val="0"/>
              <w:pageBreakBefore w:val="0"/>
              <w:widowControl w:val="0"/>
              <w:numPr>
                <w:ilvl w:val="0"/>
                <w:numId w:val="0"/>
              </w:numPr>
              <w:kinsoku/>
              <w:wordWrap/>
              <w:overflowPunct/>
              <w:topLinePunct w:val="0"/>
              <w:bidi w:val="0"/>
              <w:snapToGrid/>
              <w:spacing w:line="440" w:lineRule="exact"/>
              <w:ind w:left="481" w:leftChars="0"/>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牧原养殖一场、三场、六场生猪养殖</w:t>
            </w:r>
            <w:r>
              <w:rPr>
                <w:rFonts w:hint="eastAsia" w:asciiTheme="minorEastAsia" w:hAnsiTheme="minorEastAsia" w:cstheme="minorEastAsia"/>
                <w:color w:val="000000" w:themeColor="text1"/>
                <w:lang w:eastAsia="zh-CN"/>
                <w14:textFill>
                  <w14:solidFill>
                    <w14:schemeClr w14:val="tx1"/>
                  </w14:solidFill>
                </w14:textFill>
              </w:rPr>
              <w:t>基地</w:t>
            </w:r>
            <w:r>
              <w:rPr>
                <w:rFonts w:hint="eastAsia" w:asciiTheme="minorEastAsia" w:hAnsiTheme="minorEastAsia" w:eastAsiaTheme="minorEastAsia" w:cstheme="minorEastAsia"/>
                <w:color w:val="000000" w:themeColor="text1"/>
                <w14:textFill>
                  <w14:solidFill>
                    <w14:schemeClr w14:val="tx1"/>
                  </w14:solidFill>
                </w14:textFill>
              </w:rPr>
              <w:t>，养殖规模达到50万口；</w:t>
            </w:r>
          </w:p>
          <w:p w14:paraId="60596F29">
            <w:pPr>
              <w:keepNext w:val="0"/>
              <w:keepLines w:val="0"/>
              <w:pageBreakBefore w:val="0"/>
              <w:widowControl w:val="0"/>
              <w:numPr>
                <w:ilvl w:val="0"/>
                <w:numId w:val="0"/>
              </w:numPr>
              <w:kinsoku/>
              <w:wordWrap/>
              <w:overflowPunct/>
              <w:topLinePunct w:val="0"/>
              <w:bidi w:val="0"/>
              <w:snapToGrid/>
              <w:spacing w:line="440" w:lineRule="exact"/>
              <w:ind w:left="481" w:leftChars="0"/>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扎旗肉牛繁育基地，以巴达尔胡、巴彦扎拉嘎为重点，建设万头安格斯牛养殖场5个，规模达到15万头，全旗肉牛规模达到60万头；</w:t>
            </w:r>
          </w:p>
          <w:p w14:paraId="0A47F8B0">
            <w:pPr>
              <w:keepNext w:val="0"/>
              <w:keepLines w:val="0"/>
              <w:pageBreakBefore w:val="0"/>
              <w:widowControl w:val="0"/>
              <w:numPr>
                <w:ilvl w:val="0"/>
                <w:numId w:val="0"/>
              </w:numPr>
              <w:kinsoku/>
              <w:wordWrap/>
              <w:overflowPunct/>
              <w:topLinePunct w:val="0"/>
              <w:bidi w:val="0"/>
              <w:snapToGrid/>
              <w:spacing w:line="440" w:lineRule="exact"/>
              <w:ind w:left="481" w:leftChars="0"/>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优质绿色水稻产业基地，在好力保、努文木仁、音德尔、图牧吉、阿尔本格勒、新林、巴彦高勒打造水稻基地120万亩</w:t>
            </w:r>
            <w:r>
              <w:rPr>
                <w:rFonts w:hint="eastAsia" w:asciiTheme="minorEastAsia" w:hAnsiTheme="minorEastAsia" w:cstheme="minorEastAsia"/>
                <w:color w:val="000000" w:themeColor="text1"/>
                <w:lang w:eastAsia="zh-CN"/>
                <w14:textFill>
                  <w14:solidFill>
                    <w14:schemeClr w14:val="tx1"/>
                  </w14:solidFill>
                </w14:textFill>
              </w:rPr>
              <w:t>，其中旱作水稻达到</w:t>
            </w:r>
            <w:r>
              <w:rPr>
                <w:rFonts w:hint="eastAsia" w:asciiTheme="minorEastAsia" w:hAnsiTheme="minorEastAsia" w:cstheme="minorEastAsia"/>
                <w:color w:val="000000" w:themeColor="text1"/>
                <w:lang w:val="en-US" w:eastAsia="zh-CN"/>
                <w14:textFill>
                  <w14:solidFill>
                    <w14:schemeClr w14:val="tx1"/>
                  </w14:solidFill>
                </w14:textFill>
              </w:rPr>
              <w:t>42万亩</w:t>
            </w:r>
            <w:r>
              <w:rPr>
                <w:rFonts w:hint="eastAsia" w:asciiTheme="minorEastAsia" w:hAnsiTheme="minorEastAsia" w:eastAsiaTheme="minorEastAsia" w:cstheme="minorEastAsia"/>
                <w:color w:val="000000" w:themeColor="text1"/>
                <w14:textFill>
                  <w14:solidFill>
                    <w14:schemeClr w14:val="tx1"/>
                  </w14:solidFill>
                </w14:textFill>
              </w:rPr>
              <w:t>。</w:t>
            </w:r>
          </w:p>
          <w:p w14:paraId="51A0F6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82" w:leftChars="0"/>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中草药材产业园，以新林镇为核心辐射周边乡镇，以九禾农业科技限公司为龙头，打造一二三产融合发展的产业园，</w:t>
            </w:r>
            <w:r>
              <w:rPr>
                <w:rFonts w:hint="eastAsia" w:asciiTheme="minorEastAsia" w:hAnsiTheme="minorEastAsia" w:eastAsiaTheme="minorEastAsia" w:cstheme="minorEastAsia"/>
                <w:color w:val="000000" w:themeColor="text1"/>
                <w:highlight w:val="none"/>
                <w14:textFill>
                  <w14:solidFill>
                    <w14:schemeClr w14:val="tx1"/>
                  </w14:solidFill>
                </w14:textFill>
              </w:rPr>
              <w:t>核心基地规模5万亩，带动周边乡镇种植15万亩，带</w:t>
            </w:r>
            <w:r>
              <w:rPr>
                <w:rFonts w:hint="eastAsia" w:asciiTheme="minorEastAsia" w:hAnsiTheme="minorEastAsia" w:eastAsiaTheme="minorEastAsia" w:cstheme="minorEastAsia"/>
                <w:color w:val="000000" w:themeColor="text1"/>
                <w14:textFill>
                  <w14:solidFill>
                    <w14:schemeClr w14:val="tx1"/>
                  </w14:solidFill>
                </w14:textFill>
              </w:rPr>
              <w:t>动农户2500户。</w:t>
            </w:r>
          </w:p>
          <w:p w14:paraId="7FAF9FFA">
            <w:pPr>
              <w:keepNext w:val="0"/>
              <w:keepLines w:val="0"/>
              <w:pageBreakBefore w:val="0"/>
              <w:widowControl w:val="0"/>
              <w:numPr>
                <w:ilvl w:val="0"/>
                <w:numId w:val="0"/>
              </w:numPr>
              <w:kinsoku/>
              <w:wordWrap/>
              <w:overflowPunct/>
              <w:topLinePunct w:val="0"/>
              <w:bidi w:val="0"/>
              <w:snapToGrid/>
              <w:spacing w:line="440" w:lineRule="exact"/>
              <w:ind w:left="481" w:leftChars="0"/>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200万只肉羊产业基地，育肥羊基地3个，圈舍6万平方米，育肥舍7万平方米。</w:t>
            </w:r>
          </w:p>
          <w:p w14:paraId="4D96FA26">
            <w:pPr>
              <w:keepNext w:val="0"/>
              <w:keepLines w:val="0"/>
              <w:pageBreakBefore w:val="0"/>
              <w:widowControl w:val="0"/>
              <w:numPr>
                <w:ilvl w:val="0"/>
                <w:numId w:val="0"/>
              </w:numPr>
              <w:kinsoku/>
              <w:wordWrap/>
              <w:overflowPunct/>
              <w:topLinePunct w:val="0"/>
              <w:bidi w:val="0"/>
              <w:snapToGrid/>
              <w:spacing w:line="360" w:lineRule="auto"/>
              <w:ind w:left="481" w:leftChars="0"/>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发展甜菜种植基地，以巴彦高勒、音德尔、图牧吉为重点，发展10万亩。</w:t>
            </w:r>
          </w:p>
          <w:p w14:paraId="49110536">
            <w:pPr>
              <w:pStyle w:val="2"/>
              <w:spacing w:line="360" w:lineRule="auto"/>
              <w:ind w:firstLine="480"/>
              <w:jc w:val="both"/>
              <w:rPr>
                <w:rFonts w:hint="eastAsia"/>
                <w:lang w:val="en-US" w:eastAsia="zh-CN"/>
              </w:rPr>
            </w:pPr>
            <w:r>
              <w:rPr>
                <w:rFonts w:hint="eastAsia"/>
                <w:lang w:val="en-US" w:eastAsia="zh-CN"/>
              </w:rPr>
              <w:t>7、杂粮杂豆基地30万亩。</w:t>
            </w:r>
          </w:p>
          <w:p w14:paraId="0ACB140A">
            <w:pPr>
              <w:pStyle w:val="2"/>
              <w:spacing w:line="360" w:lineRule="auto"/>
              <w:ind w:firstLine="480"/>
              <w:jc w:val="both"/>
              <w:rPr>
                <w:rFonts w:hint="default"/>
                <w:lang w:val="en-US" w:eastAsia="zh-CN"/>
              </w:rPr>
            </w:pPr>
            <w:r>
              <w:rPr>
                <w:rFonts w:hint="eastAsia"/>
                <w:lang w:val="en-US" w:eastAsia="zh-CN"/>
              </w:rPr>
              <w:t>8、饲草料基地25万亩。</w:t>
            </w:r>
          </w:p>
          <w:p w14:paraId="133F38E2">
            <w:pPr>
              <w:keepNext w:val="0"/>
              <w:keepLines w:val="0"/>
              <w:pageBreakBefore w:val="0"/>
              <w:widowControl w:val="0"/>
              <w:numPr>
                <w:ilvl w:val="0"/>
                <w:numId w:val="5"/>
              </w:numPr>
              <w:kinsoku/>
              <w:wordWrap/>
              <w:overflowPunct/>
              <w:topLinePunct w:val="0"/>
              <w:bidi w:val="0"/>
              <w:snapToGrid/>
              <w:spacing w:line="440" w:lineRule="exact"/>
              <w:ind w:left="481"/>
              <w:jc w:val="both"/>
              <w:textAlignment w:val="auto"/>
              <w:outlineLvl w:val="9"/>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cstheme="minorEastAsia"/>
                <w:b/>
                <w:bCs/>
                <w:color w:val="000000" w:themeColor="text1"/>
                <w:lang w:eastAsia="zh-CN"/>
                <w14:textFill>
                  <w14:solidFill>
                    <w14:schemeClr w14:val="tx1"/>
                  </w14:solidFill>
                </w14:textFill>
              </w:rPr>
              <w:t>着力加强</w:t>
            </w:r>
            <w:r>
              <w:rPr>
                <w:rFonts w:hint="eastAsia" w:asciiTheme="minorEastAsia" w:hAnsiTheme="minorEastAsia" w:eastAsiaTheme="minorEastAsia" w:cstheme="minorEastAsia"/>
                <w:b/>
                <w:bCs/>
                <w:color w:val="000000" w:themeColor="text1"/>
                <w14:textFill>
                  <w14:solidFill>
                    <w14:schemeClr w14:val="tx1"/>
                  </w14:solidFill>
                </w14:textFill>
              </w:rPr>
              <w:t>种子工程</w:t>
            </w:r>
            <w:r>
              <w:rPr>
                <w:rFonts w:hint="eastAsia" w:asciiTheme="minorEastAsia" w:hAnsiTheme="minorEastAsia" w:cstheme="minorEastAsia"/>
                <w:b/>
                <w:bCs/>
                <w:color w:val="000000" w:themeColor="text1"/>
                <w:lang w:eastAsia="zh-CN"/>
                <w14:textFill>
                  <w14:solidFill>
                    <w14:schemeClr w14:val="tx1"/>
                  </w14:solidFill>
                </w14:textFill>
              </w:rPr>
              <w:t>建设</w:t>
            </w:r>
          </w:p>
          <w:p w14:paraId="2EE7DFAB">
            <w:pPr>
              <w:keepNext w:val="0"/>
              <w:keepLines w:val="0"/>
              <w:pageBreakBefore w:val="0"/>
              <w:widowControl w:val="0"/>
              <w:kinsoku/>
              <w:wordWrap/>
              <w:overflowPunct/>
              <w:topLinePunct w:val="0"/>
              <w:bidi w:val="0"/>
              <w:snapToGrid/>
              <w:spacing w:line="440" w:lineRule="exact"/>
              <w:ind w:left="481"/>
              <w:jc w:val="both"/>
              <w:textAlignment w:val="auto"/>
              <w:outlineLvl w:val="9"/>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14:textFill>
                  <w14:solidFill>
                    <w14:schemeClr w14:val="tx1"/>
                  </w14:solidFill>
                </w14:textFill>
              </w:rPr>
              <w:t>.扎旗兴安粳稻优质品种育繁推一体化建设项目</w:t>
            </w:r>
            <w:r>
              <w:rPr>
                <w:rFonts w:hint="eastAsia" w:asciiTheme="minorEastAsia" w:hAnsiTheme="minorEastAsia" w:cstheme="minorEastAsia"/>
                <w:color w:val="000000" w:themeColor="text1"/>
                <w:lang w:eastAsia="zh-CN"/>
                <w14:textFill>
                  <w14:solidFill>
                    <w14:schemeClr w14:val="tx1"/>
                  </w14:solidFill>
                </w14:textFill>
              </w:rPr>
              <w:t>。</w:t>
            </w:r>
          </w:p>
          <w:p w14:paraId="5DFF4AA1">
            <w:pPr>
              <w:keepNext w:val="0"/>
              <w:keepLines w:val="0"/>
              <w:pageBreakBefore w:val="0"/>
              <w:widowControl w:val="0"/>
              <w:kinsoku/>
              <w:wordWrap/>
              <w:overflowPunct/>
              <w:topLinePunct w:val="0"/>
              <w:bidi w:val="0"/>
              <w:snapToGrid/>
              <w:spacing w:line="440" w:lineRule="exact"/>
              <w:ind w:left="481"/>
              <w:jc w:val="both"/>
              <w:textAlignment w:val="auto"/>
              <w:outlineLvl w:val="9"/>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14:textFill>
                  <w14:solidFill>
                    <w14:schemeClr w14:val="tx1"/>
                  </w14:solidFill>
                </w14:textFill>
              </w:rPr>
              <w:t>.扎旗兴安多羔羊育繁推一体化项目</w:t>
            </w:r>
            <w:r>
              <w:rPr>
                <w:rFonts w:hint="eastAsia" w:asciiTheme="minorEastAsia" w:hAnsiTheme="minorEastAsia" w:cstheme="minorEastAsia"/>
                <w:color w:val="000000" w:themeColor="text1"/>
                <w:lang w:eastAsia="zh-CN"/>
                <w14:textFill>
                  <w14:solidFill>
                    <w14:schemeClr w14:val="tx1"/>
                  </w14:solidFill>
                </w14:textFill>
              </w:rPr>
              <w:t>。</w:t>
            </w:r>
          </w:p>
          <w:p w14:paraId="2BC8FDB7">
            <w:pPr>
              <w:keepNext w:val="0"/>
              <w:keepLines w:val="0"/>
              <w:pageBreakBefore w:val="0"/>
              <w:widowControl w:val="0"/>
              <w:kinsoku/>
              <w:wordWrap/>
              <w:overflowPunct/>
              <w:topLinePunct w:val="0"/>
              <w:bidi w:val="0"/>
              <w:snapToGrid/>
              <w:spacing w:line="440" w:lineRule="exact"/>
              <w:ind w:left="481"/>
              <w:jc w:val="both"/>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14:textFill>
                  <w14:solidFill>
                    <w14:schemeClr w14:val="tx1"/>
                  </w14:solidFill>
                </w14:textFill>
              </w:rPr>
              <w:t>.林业优质种苗工程，年供应林木种子1.5万公斤，苗</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000万株。</w:t>
            </w:r>
          </w:p>
          <w:p w14:paraId="57D6DE99">
            <w:pPr>
              <w:keepNext w:val="0"/>
              <w:keepLines w:val="0"/>
              <w:pageBreakBefore w:val="0"/>
              <w:widowControl w:val="0"/>
              <w:kinsoku/>
              <w:wordWrap/>
              <w:overflowPunct/>
              <w:topLinePunct w:val="0"/>
              <w:bidi w:val="0"/>
              <w:snapToGrid/>
              <w:spacing w:line="440" w:lineRule="exact"/>
              <w:jc w:val="both"/>
              <w:textAlignment w:val="auto"/>
              <w:outlineLvl w:val="9"/>
              <w:rPr>
                <w:rFonts w:hint="eastAsia" w:ascii="仿宋" w:hAnsi="仿宋" w:eastAsia="仿宋" w:cs="仿宋"/>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1</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.实施中草药种子工程。</w:t>
            </w:r>
          </w:p>
        </w:tc>
      </w:tr>
    </w:tbl>
    <w:p w14:paraId="5662887B">
      <w:pPr>
        <w:rPr>
          <w:rFonts w:hint="eastAsia" w:ascii="仿宋" w:hAnsi="仿宋" w:eastAsia="仿宋" w:cs="仿宋"/>
          <w:color w:val="000000" w:themeColor="text1"/>
          <w14:textFill>
            <w14:solidFill>
              <w14:schemeClr w14:val="tx1"/>
            </w14:solidFill>
          </w14:textFill>
        </w:rPr>
      </w:pPr>
    </w:p>
    <w:p w14:paraId="2671A8B3">
      <w:pPr>
        <w:pStyle w:val="4"/>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14:textFill>
            <w14:solidFill>
              <w14:schemeClr w14:val="tx1"/>
            </w14:solidFill>
          </w14:textFill>
        </w:rPr>
      </w:pPr>
      <w:bookmarkStart w:id="75" w:name="_Toc9093"/>
      <w:bookmarkStart w:id="76" w:name="_Toc2866"/>
      <w:bookmarkStart w:id="77" w:name="_Toc3200"/>
      <w:r>
        <w:rPr>
          <w:rFonts w:hint="eastAsia" w:ascii="仿宋" w:hAnsi="仿宋" w:eastAsia="仿宋" w:cs="仿宋"/>
          <w:b/>
          <w:bCs/>
          <w:color w:val="000000" w:themeColor="text1"/>
          <w14:textFill>
            <w14:solidFill>
              <w14:schemeClr w14:val="tx1"/>
            </w14:solidFill>
          </w14:textFill>
        </w:rPr>
        <w:t>第二节</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14:textFill>
            <w14:solidFill>
              <w14:schemeClr w14:val="tx1"/>
            </w14:solidFill>
          </w14:textFill>
        </w:rPr>
        <w:t xml:space="preserve"> 促进工业提质增效</w:t>
      </w:r>
      <w:bookmarkEnd w:id="75"/>
      <w:bookmarkEnd w:id="76"/>
      <w:bookmarkEnd w:id="77"/>
    </w:p>
    <w:p w14:paraId="41E3342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2025年，加工业产业结构更趋合理，以玉米水稻</w:t>
      </w:r>
      <w:r>
        <w:rPr>
          <w:rFonts w:hint="eastAsia" w:ascii="仿宋" w:hAnsi="仿宋" w:eastAsia="仿宋" w:cs="仿宋"/>
          <w:color w:val="000000" w:themeColor="text1"/>
          <w:sz w:val="32"/>
          <w:szCs w:val="32"/>
          <w:lang w:val="en-US" w:eastAsia="zh-CN"/>
          <w14:textFill>
            <w14:solidFill>
              <w14:schemeClr w14:val="tx1"/>
            </w14:solidFill>
          </w14:textFill>
        </w:rPr>
        <w:t>甜菜深加工、</w:t>
      </w:r>
      <w:r>
        <w:rPr>
          <w:rFonts w:hint="eastAsia" w:ascii="仿宋" w:hAnsi="仿宋" w:eastAsia="仿宋" w:cs="仿宋"/>
          <w:color w:val="000000" w:themeColor="text1"/>
          <w:sz w:val="32"/>
          <w:szCs w:val="32"/>
          <w14:textFill>
            <w14:solidFill>
              <w14:schemeClr w14:val="tx1"/>
            </w14:solidFill>
          </w14:textFill>
        </w:rPr>
        <w:t>肉牛肉羊生猪屠宰</w:t>
      </w:r>
      <w:r>
        <w:rPr>
          <w:rFonts w:hint="eastAsia" w:ascii="仿宋" w:hAnsi="仿宋" w:eastAsia="仿宋" w:cs="仿宋"/>
          <w:color w:val="000000" w:themeColor="text1"/>
          <w:sz w:val="32"/>
          <w:szCs w:val="32"/>
          <w:lang w:val="en-US" w:eastAsia="zh-CN"/>
          <w14:textFill>
            <w14:solidFill>
              <w14:schemeClr w14:val="tx1"/>
            </w14:solidFill>
          </w14:textFill>
        </w:rPr>
        <w:t>加工</w:t>
      </w:r>
      <w:r>
        <w:rPr>
          <w:rFonts w:hint="eastAsia" w:ascii="仿宋" w:hAnsi="仿宋" w:eastAsia="仿宋" w:cs="仿宋"/>
          <w:color w:val="000000" w:themeColor="text1"/>
          <w:sz w:val="32"/>
          <w:szCs w:val="32"/>
          <w14:textFill>
            <w14:solidFill>
              <w14:schemeClr w14:val="tx1"/>
            </w14:solidFill>
          </w14:textFill>
        </w:rPr>
        <w:t>、中草药加工、新能源产业为主的工业</w:t>
      </w:r>
      <w:r>
        <w:rPr>
          <w:rFonts w:hint="eastAsia" w:ascii="仿宋" w:hAnsi="仿宋" w:eastAsia="仿宋" w:cs="仿宋"/>
          <w:color w:val="000000" w:themeColor="text1"/>
          <w:sz w:val="32"/>
          <w:szCs w:val="32"/>
          <w:lang w:val="en-US"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格局，规上企业达到</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家以上，到期末</w:t>
      </w:r>
      <w:r>
        <w:rPr>
          <w:rFonts w:hint="eastAsia" w:ascii="仿宋" w:hAnsi="仿宋" w:eastAsia="仿宋" w:cs="仿宋"/>
          <w:color w:val="000000" w:themeColor="text1"/>
          <w:sz w:val="32"/>
          <w:szCs w:val="32"/>
          <w:lang w:eastAsia="zh-CN"/>
          <w14:textFill>
            <w14:solidFill>
              <w14:schemeClr w14:val="tx1"/>
            </w14:solidFill>
          </w14:textFill>
        </w:rPr>
        <w:t>产值</w:t>
      </w:r>
      <w:r>
        <w:rPr>
          <w:rFonts w:hint="eastAsia" w:ascii="仿宋" w:hAnsi="仿宋" w:eastAsia="仿宋" w:cs="仿宋"/>
          <w:color w:val="000000" w:themeColor="text1"/>
          <w:sz w:val="32"/>
          <w:szCs w:val="32"/>
          <w14:textFill>
            <w14:solidFill>
              <w14:schemeClr w14:val="tx1"/>
            </w14:solidFill>
          </w14:textFill>
        </w:rPr>
        <w:t>实现</w:t>
      </w:r>
      <w:r>
        <w:rPr>
          <w:rFonts w:hint="eastAsia" w:ascii="仿宋" w:hAnsi="仿宋" w:eastAsia="仿宋" w:cs="仿宋"/>
          <w:color w:val="000000" w:themeColor="text1"/>
          <w:sz w:val="32"/>
          <w:szCs w:val="32"/>
          <w:lang w:val="en-US" w:eastAsia="zh-CN"/>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亿元以上。</w:t>
      </w:r>
    </w:p>
    <w:p w14:paraId="3D3CB7D0">
      <w:pPr>
        <w:pStyle w:val="5"/>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一、聚力打造农畜产品精深加产业集群</w:t>
      </w:r>
    </w:p>
    <w:p w14:paraId="6F81AFFA">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农产品加工业。</w:t>
      </w:r>
      <w:r>
        <w:rPr>
          <w:rFonts w:hint="eastAsia" w:ascii="仿宋" w:hAnsi="仿宋" w:eastAsia="仿宋" w:cs="仿宋"/>
          <w:color w:val="000000" w:themeColor="text1"/>
          <w:sz w:val="32"/>
          <w:szCs w:val="32"/>
          <w14:textFill>
            <w14:solidFill>
              <w14:schemeClr w14:val="tx1"/>
            </w14:solidFill>
          </w14:textFill>
        </w:rPr>
        <w:t>坚持围绕一产抓二产，引进和培育农产品加工企业，发展稻米、玉米、大豆深加工业，推动华贸水稻</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地沃炭基肥等企业满负荷生产</w:t>
      </w:r>
      <w:r>
        <w:rPr>
          <w:rFonts w:hint="eastAsia" w:ascii="仿宋" w:hAnsi="仿宋" w:eastAsia="仿宋" w:cs="仿宋"/>
          <w:color w:val="000000" w:themeColor="text1"/>
          <w:sz w:val="32"/>
          <w:szCs w:val="32"/>
          <w:lang w:eastAsia="zh-CN"/>
          <w14:textFill>
            <w14:solidFill>
              <w14:schemeClr w14:val="tx1"/>
            </w14:solidFill>
          </w14:textFill>
        </w:rPr>
        <w:t>、魏佳米业技改扩能，</w:t>
      </w:r>
      <w:r>
        <w:rPr>
          <w:rFonts w:hint="eastAsia" w:ascii="仿宋" w:hAnsi="仿宋" w:eastAsia="仿宋" w:cs="仿宋"/>
          <w:color w:val="000000" w:themeColor="text1"/>
          <w:sz w:val="32"/>
          <w:szCs w:val="32"/>
          <w14:textFill>
            <w14:solidFill>
              <w14:schemeClr w14:val="tx1"/>
            </w14:solidFill>
          </w14:textFill>
        </w:rPr>
        <w:t>加快绿草地年产500吨白酒、环宇化工搬迁技改、</w:t>
      </w:r>
      <w:r>
        <w:rPr>
          <w:rFonts w:hint="eastAsia" w:ascii="仿宋" w:hAnsi="仿宋" w:eastAsia="仿宋" w:cs="仿宋"/>
          <w:color w:val="000000" w:themeColor="text1"/>
          <w:sz w:val="32"/>
          <w:szCs w:val="32"/>
          <w:lang w:eastAsia="zh-CN"/>
          <w14:textFill>
            <w14:solidFill>
              <w14:schemeClr w14:val="tx1"/>
            </w14:solidFill>
          </w14:textFill>
        </w:rPr>
        <w:t>牧原30万吨玉米饲料加工项目</w:t>
      </w:r>
      <w:r>
        <w:rPr>
          <w:rFonts w:hint="eastAsia" w:ascii="仿宋" w:hAnsi="仿宋" w:eastAsia="仿宋" w:cs="仿宋"/>
          <w:color w:val="000000" w:themeColor="text1"/>
          <w:sz w:val="32"/>
          <w:szCs w:val="32"/>
          <w14:textFill>
            <w14:solidFill>
              <w14:schemeClr w14:val="tx1"/>
            </w14:solidFill>
          </w14:textFill>
        </w:rPr>
        <w:t>等项目建设，不断培育工业经济增长点。立足优质稻米开发免洗米、蒸谷米、胚芽米以及营养米粉</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高蛋白粉等产品；立足玉米开发饲料、玉米淀粉、玉米胚芽油、玉米蛋白、柠檬酸等产品。推进稻壳米糠、油料饼粕等农产品加工副产物循环利用、全值利用、梯次利用，实现变废为宝、化害为利。</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规上农产品加工业</w:t>
      </w:r>
      <w:r>
        <w:rPr>
          <w:rFonts w:hint="eastAsia" w:ascii="仿宋" w:hAnsi="仿宋" w:eastAsia="仿宋" w:cs="仿宋"/>
          <w:color w:val="000000" w:themeColor="text1"/>
          <w:sz w:val="32"/>
          <w:szCs w:val="32"/>
          <w:lang w:val="en-US" w:eastAsia="zh-CN"/>
          <w14:textFill>
            <w14:solidFill>
              <w14:schemeClr w14:val="tx1"/>
            </w14:solidFill>
          </w14:textFill>
        </w:rPr>
        <w:t>产值</w:t>
      </w:r>
      <w:r>
        <w:rPr>
          <w:rFonts w:hint="eastAsia" w:ascii="仿宋" w:hAnsi="仿宋" w:eastAsia="仿宋" w:cs="仿宋"/>
          <w:color w:val="000000" w:themeColor="text1"/>
          <w:sz w:val="32"/>
          <w:szCs w:val="32"/>
          <w14:textFill>
            <w14:solidFill>
              <w14:schemeClr w14:val="tx1"/>
            </w14:solidFill>
          </w14:textFill>
        </w:rPr>
        <w:t>达到</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亿元。</w:t>
      </w:r>
    </w:p>
    <w:p w14:paraId="62FFF494">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畜产品加工业。</w:t>
      </w:r>
      <w:r>
        <w:rPr>
          <w:rFonts w:hint="eastAsia" w:ascii="仿宋" w:hAnsi="仿宋" w:eastAsia="仿宋" w:cs="仿宋"/>
          <w:color w:val="000000" w:themeColor="text1"/>
          <w:sz w:val="32"/>
          <w:szCs w:val="32"/>
          <w14:textFill>
            <w14:solidFill>
              <w14:schemeClr w14:val="tx1"/>
            </w14:solidFill>
          </w14:textFill>
        </w:rPr>
        <w:t>依托肉牛、肉羊和生猪养殖基地，打造畜产品加工业产业链，促进初级加工向精深加工转变，提升畜产品附加值。支持天牧臻标准化牛羊屠宰加工冷链物流园区项目</w:t>
      </w:r>
      <w:r>
        <w:rPr>
          <w:rFonts w:hint="eastAsia" w:ascii="仿宋" w:hAnsi="仿宋" w:eastAsia="仿宋" w:cs="仿宋"/>
          <w:color w:val="000000" w:themeColor="text1"/>
          <w:sz w:val="32"/>
          <w:szCs w:val="32"/>
          <w:lang w:val="en-US" w:eastAsia="zh-CN"/>
          <w14:textFill>
            <w14:solidFill>
              <w14:schemeClr w14:val="tx1"/>
            </w14:solidFill>
          </w14:textFill>
        </w:rPr>
        <w:t>建设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推动永胜屠宰等企业技术改造，推进畜产品加工、保鲜、储运技术创新，促进副产品综合开发利用，支持企业共享绿色畜产品区域公共品牌。</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规上畜产品加工业产值达到</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亿元。</w:t>
      </w:r>
    </w:p>
    <w:p w14:paraId="7AF1BAE0">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特色农产品加工业。</w:t>
      </w:r>
      <w:r>
        <w:rPr>
          <w:rFonts w:hint="eastAsia" w:ascii="仿宋" w:hAnsi="仿宋" w:eastAsia="仿宋" w:cs="仿宋"/>
          <w:color w:val="000000" w:themeColor="text1"/>
          <w:sz w:val="32"/>
          <w:szCs w:val="32"/>
          <w14:textFill>
            <w14:solidFill>
              <w14:schemeClr w14:val="tx1"/>
            </w14:solidFill>
          </w14:textFill>
        </w:rPr>
        <w:t>支持甜菜、</w:t>
      </w:r>
      <w:r>
        <w:rPr>
          <w:rFonts w:hint="eastAsia" w:ascii="仿宋" w:hAnsi="仿宋" w:eastAsia="仿宋" w:cs="仿宋"/>
          <w:color w:val="000000" w:themeColor="text1"/>
          <w:sz w:val="32"/>
          <w:szCs w:val="32"/>
          <w:lang w:val="en-US" w:eastAsia="zh-CN"/>
          <w14:textFill>
            <w14:solidFill>
              <w14:schemeClr w14:val="tx1"/>
            </w14:solidFill>
          </w14:textFill>
        </w:rPr>
        <w:t>甜叶菊、</w:t>
      </w:r>
      <w:r>
        <w:rPr>
          <w:rFonts w:hint="eastAsia" w:ascii="仿宋" w:hAnsi="仿宋" w:eastAsia="仿宋" w:cs="仿宋"/>
          <w:color w:val="000000" w:themeColor="text1"/>
          <w:sz w:val="32"/>
          <w:szCs w:val="32"/>
          <w14:textFill>
            <w14:solidFill>
              <w14:schemeClr w14:val="tx1"/>
            </w14:solidFill>
          </w14:textFill>
        </w:rPr>
        <w:t>杂粮杂豆等特色农产品加工转化。</w:t>
      </w:r>
      <w:r>
        <w:rPr>
          <w:rFonts w:hint="eastAsia" w:ascii="仿宋" w:hAnsi="仿宋" w:eastAsia="仿宋" w:cs="仿宋"/>
          <w:color w:val="000000" w:themeColor="text1"/>
          <w:sz w:val="32"/>
          <w:szCs w:val="32"/>
          <w:lang w:eastAsia="zh-CN"/>
          <w14:textFill>
            <w14:solidFill>
              <w14:schemeClr w14:val="tx1"/>
            </w14:solidFill>
          </w14:textFill>
        </w:rPr>
        <w:t>发展林果加工业，以鹦鸽山葡萄酒有限公司为带动，</w:t>
      </w:r>
      <w:r>
        <w:rPr>
          <w:rFonts w:hint="eastAsia" w:ascii="仿宋" w:hAnsi="仿宋" w:eastAsia="仿宋" w:cs="仿宋"/>
          <w:color w:val="000000" w:themeColor="text1"/>
          <w:sz w:val="32"/>
          <w:szCs w:val="32"/>
          <w:lang w:val="en-US" w:eastAsia="zh-CN"/>
          <w14:textFill>
            <w14:solidFill>
              <w14:schemeClr w14:val="tx1"/>
            </w14:solidFill>
          </w14:textFill>
        </w:rPr>
        <w:t>扩大</w:t>
      </w:r>
      <w:r>
        <w:rPr>
          <w:rFonts w:hint="eastAsia" w:ascii="仿宋" w:hAnsi="仿宋" w:eastAsia="仿宋" w:cs="仿宋"/>
          <w:color w:val="000000" w:themeColor="text1"/>
          <w:sz w:val="32"/>
          <w:szCs w:val="32"/>
          <w:lang w:eastAsia="zh-CN"/>
          <w14:textFill>
            <w14:solidFill>
              <w14:schemeClr w14:val="tx1"/>
            </w14:solidFill>
          </w14:textFill>
        </w:rPr>
        <w:t>葡萄、沙果、李子、沙棘种植。</w:t>
      </w:r>
      <w:r>
        <w:rPr>
          <w:rFonts w:hint="eastAsia" w:ascii="仿宋" w:hAnsi="仿宋" w:eastAsia="仿宋" w:cs="仿宋"/>
          <w:color w:val="000000" w:themeColor="text1"/>
          <w:sz w:val="32"/>
          <w:szCs w:val="32"/>
          <w14:textFill>
            <w14:solidFill>
              <w14:schemeClr w14:val="tx1"/>
            </w14:solidFill>
          </w14:textFill>
        </w:rPr>
        <w:t>盘活保安沼甜菊糖加工项目，推动荷丰农业达产达效。</w:t>
      </w:r>
      <w:r>
        <w:rPr>
          <w:rFonts w:hint="eastAsia" w:ascii="仿宋" w:hAnsi="仿宋" w:eastAsia="仿宋" w:cs="仿宋"/>
          <w:color w:val="000000" w:themeColor="text1"/>
          <w:sz w:val="32"/>
          <w:szCs w:val="32"/>
          <w:lang w:val="en-US" w:eastAsia="zh-CN"/>
          <w14:textFill>
            <w14:solidFill>
              <w14:schemeClr w14:val="tx1"/>
            </w14:solidFill>
          </w14:textFill>
        </w:rPr>
        <w:t>支持</w:t>
      </w:r>
      <w:r>
        <w:rPr>
          <w:rFonts w:hint="eastAsia" w:ascii="仿宋" w:hAnsi="仿宋" w:eastAsia="仿宋" w:cs="仿宋"/>
          <w:color w:val="000000" w:themeColor="text1"/>
          <w:sz w:val="32"/>
          <w:szCs w:val="32"/>
          <w14:textFill>
            <w14:solidFill>
              <w14:schemeClr w14:val="tx1"/>
            </w14:solidFill>
          </w14:textFill>
        </w:rPr>
        <w:t>内蒙古新谷园食品科技股份有限公司延伸产业链条，完善预熟杂粮产业体系。推动龙鼎农业生物质酵素加工项目投产达效。</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规上特色产品加工业产值达到</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亿元。</w:t>
      </w:r>
    </w:p>
    <w:p w14:paraId="2E9FDE56">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中草药加工业。</w:t>
      </w:r>
      <w:r>
        <w:rPr>
          <w:rFonts w:hint="eastAsia" w:ascii="仿宋" w:hAnsi="仿宋" w:eastAsia="仿宋" w:cs="仿宋"/>
          <w:color w:val="000000" w:themeColor="text1"/>
          <w:sz w:val="32"/>
          <w:szCs w:val="32"/>
          <w14:textFill>
            <w14:solidFill>
              <w14:schemeClr w14:val="tx1"/>
            </w14:solidFill>
          </w14:textFill>
        </w:rPr>
        <w:t>大力发展中药材种植公司、专业</w:t>
      </w:r>
      <w:r>
        <w:rPr>
          <w:rFonts w:hint="eastAsia" w:ascii="仿宋" w:hAnsi="仿宋" w:eastAsia="仿宋" w:cs="仿宋"/>
          <w:color w:val="000000" w:themeColor="text1"/>
          <w:sz w:val="32"/>
          <w:szCs w:val="32"/>
          <w:lang w:val="en-US" w:eastAsia="zh-CN"/>
          <w14:textFill>
            <w14:solidFill>
              <w14:schemeClr w14:val="tx1"/>
            </w14:solidFill>
          </w14:textFill>
        </w:rPr>
        <w:t>化</w:t>
      </w:r>
      <w:r>
        <w:rPr>
          <w:rFonts w:hint="eastAsia" w:ascii="仿宋" w:hAnsi="仿宋" w:eastAsia="仿宋" w:cs="仿宋"/>
          <w:color w:val="000000" w:themeColor="text1"/>
          <w:sz w:val="32"/>
          <w:szCs w:val="32"/>
          <w14:textFill>
            <w14:solidFill>
              <w14:schemeClr w14:val="tx1"/>
            </w14:solidFill>
          </w14:textFill>
        </w:rPr>
        <w:t>合作社，推进中药材标准化基地建设，种植道地药材，发展中药材精深加工，形成“中药材种植、精深加工、中药提取、生物制药” 道地药材全产业链。依托内蒙古九禾农业科技发展有限公司，在新林</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b w:val="0"/>
          <w:bCs w:val="0"/>
          <w:color w:val="000000" w:themeColor="text1"/>
          <w:sz w:val="32"/>
          <w:szCs w:val="32"/>
          <w:lang w:val="en-US" w:eastAsia="zh-CN"/>
          <w14:textFill>
            <w14:solidFill>
              <w14:schemeClr w14:val="tx1"/>
            </w14:solidFill>
          </w14:textFill>
        </w:rPr>
        <w:t>规划建设</w:t>
      </w:r>
      <w:r>
        <w:rPr>
          <w:rFonts w:hint="eastAsia" w:ascii="仿宋" w:hAnsi="仿宋" w:eastAsia="仿宋" w:cs="仿宋"/>
          <w:color w:val="000000" w:themeColor="text1"/>
          <w:sz w:val="32"/>
          <w:szCs w:val="32"/>
          <w14:textFill>
            <w14:solidFill>
              <w14:schemeClr w14:val="tx1"/>
            </w14:solidFill>
          </w14:textFill>
        </w:rPr>
        <w:t>兴安盟“道地药材”农村产业融合发展示范园。2025年，中草药加工业产值达到</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亿元。</w:t>
      </w:r>
    </w:p>
    <w:p w14:paraId="25F3034E">
      <w:pPr>
        <w:pStyle w:val="5"/>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kern w:val="0"/>
          <w:szCs w:val="40"/>
          <w14:textFill>
            <w14:solidFill>
              <w14:schemeClr w14:val="tx1"/>
            </w14:solidFill>
          </w14:textFill>
        </w:rPr>
      </w:pPr>
      <w:bookmarkStart w:id="78" w:name="_Toc61280824"/>
      <w:r>
        <w:rPr>
          <w:rFonts w:hint="eastAsia" w:ascii="黑体" w:hAnsi="黑体" w:eastAsia="黑体" w:cs="黑体"/>
          <w:b w:val="0"/>
          <w:bCs w:val="0"/>
          <w:color w:val="000000" w:themeColor="text1"/>
          <w14:textFill>
            <w14:solidFill>
              <w14:schemeClr w14:val="tx1"/>
            </w14:solidFill>
          </w14:textFill>
        </w:rPr>
        <w:t>二、</w:t>
      </w:r>
      <w:r>
        <w:rPr>
          <w:rFonts w:hint="eastAsia" w:ascii="黑体" w:hAnsi="黑体" w:eastAsia="黑体" w:cs="黑体"/>
          <w:b w:val="0"/>
          <w:bCs w:val="0"/>
          <w:color w:val="000000" w:themeColor="text1"/>
          <w:kern w:val="0"/>
          <w:szCs w:val="40"/>
          <w14:textFill>
            <w14:solidFill>
              <w14:schemeClr w14:val="tx1"/>
            </w14:solidFill>
          </w14:textFill>
        </w:rPr>
        <w:t>发展壮大新能源产业</w:t>
      </w:r>
      <w:bookmarkEnd w:id="78"/>
    </w:p>
    <w:p w14:paraId="387B602D">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稳步推进水电、风电、太阳能、生物质能等可再生能源规模化发展，</w:t>
      </w:r>
      <w:r>
        <w:rPr>
          <w:rFonts w:hint="eastAsia" w:ascii="仿宋" w:hAnsi="仿宋" w:eastAsia="仿宋" w:cs="仿宋"/>
          <w:color w:val="000000" w:themeColor="text1"/>
          <w:sz w:val="32"/>
          <w:szCs w:val="32"/>
          <w:lang w:val="en-US" w:eastAsia="zh-CN"/>
          <w14:textFill>
            <w14:solidFill>
              <w14:schemeClr w14:val="tx1"/>
            </w14:solidFill>
          </w14:textFill>
        </w:rPr>
        <w:t>促进</w:t>
      </w:r>
      <w:r>
        <w:rPr>
          <w:rFonts w:hint="eastAsia" w:ascii="仿宋" w:hAnsi="仿宋" w:eastAsia="仿宋" w:cs="仿宋"/>
          <w:color w:val="000000" w:themeColor="text1"/>
          <w:sz w:val="32"/>
          <w:szCs w:val="32"/>
          <w14:textFill>
            <w14:solidFill>
              <w14:schemeClr w14:val="tx1"/>
            </w14:solidFill>
          </w14:textFill>
        </w:rPr>
        <w:t>永林生物质热电联产项目1×30兆瓦在2021年投产，推动深能48兆瓦风电供热项目并网发电，促进文得根水库500兆瓦水风光储一体化项目、绰勒水库500兆瓦光伏+储能项目落地，加快推进深能300兆瓦生物质热电联产项目、文得根水库装机3.6万千瓦项目投产。</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规上新能源产业</w:t>
      </w:r>
      <w:r>
        <w:rPr>
          <w:rFonts w:hint="eastAsia" w:ascii="仿宋" w:hAnsi="仿宋" w:eastAsia="仿宋" w:cs="仿宋"/>
          <w:color w:val="000000" w:themeColor="text1"/>
          <w:sz w:val="32"/>
          <w:szCs w:val="32"/>
          <w:lang w:eastAsia="zh-CN"/>
          <w14:textFill>
            <w14:solidFill>
              <w14:schemeClr w14:val="tx1"/>
            </w14:solidFill>
          </w14:textFill>
        </w:rPr>
        <w:t>产</w:t>
      </w:r>
      <w:r>
        <w:rPr>
          <w:rFonts w:hint="eastAsia" w:ascii="仿宋" w:hAnsi="仿宋" w:eastAsia="仿宋" w:cs="仿宋"/>
          <w:color w:val="000000" w:themeColor="text1"/>
          <w:sz w:val="32"/>
          <w:szCs w:val="32"/>
          <w14:textFill>
            <w14:solidFill>
              <w14:schemeClr w14:val="tx1"/>
            </w14:solidFill>
          </w14:textFill>
        </w:rPr>
        <w:t>值达到</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亿元。</w:t>
      </w:r>
    </w:p>
    <w:p w14:paraId="77E69391">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79" w:name="_Toc61280825"/>
      <w:r>
        <w:rPr>
          <w:rFonts w:hint="eastAsia" w:ascii="黑体" w:hAnsi="黑体" w:eastAsia="黑体" w:cs="黑体"/>
          <w:b w:val="0"/>
          <w:bCs w:val="0"/>
          <w:color w:val="000000" w:themeColor="text1"/>
          <w14:textFill>
            <w14:solidFill>
              <w14:schemeClr w14:val="tx1"/>
            </w14:solidFill>
          </w14:textFill>
        </w:rPr>
        <w:t>三、大力发展“石灰石、大理石”产业</w:t>
      </w:r>
      <w:bookmarkEnd w:id="79"/>
    </w:p>
    <w:p w14:paraId="041E15F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大招商引资力度，抓好重大项目谋划、引进和培育，不断延伸石灰石、大理石上下游产业链。促进天翼石材等现有企业技改、扩能，推动向精深加工方向发展，进一步提高产品附加值。推动山水水泥满负荷生产，稳定供应兴安盟水泥熟料建材市场。引导山水水泥</w:t>
      </w:r>
      <w:r>
        <w:rPr>
          <w:rFonts w:hint="eastAsia" w:ascii="仿宋" w:hAnsi="仿宋" w:eastAsia="仿宋" w:cs="仿宋"/>
          <w:color w:val="000000" w:themeColor="text1"/>
          <w:sz w:val="32"/>
          <w:szCs w:val="32"/>
          <w:lang w:val="en-US" w:eastAsia="zh-CN"/>
          <w14:textFill>
            <w14:solidFill>
              <w14:schemeClr w14:val="tx1"/>
            </w14:solidFill>
          </w14:textFill>
        </w:rPr>
        <w:t>利用</w:t>
      </w:r>
      <w:r>
        <w:rPr>
          <w:rFonts w:hint="eastAsia" w:ascii="仿宋" w:hAnsi="仿宋" w:eastAsia="仿宋" w:cs="仿宋"/>
          <w:color w:val="000000" w:themeColor="text1"/>
          <w:sz w:val="32"/>
          <w:szCs w:val="32"/>
          <w14:textFill>
            <w14:solidFill>
              <w14:schemeClr w14:val="tx1"/>
            </w14:solidFill>
          </w14:textFill>
        </w:rPr>
        <w:t>闲置厂区资源新上垃圾处理等项目。推动神马矿业新建碳酸钙生产线。</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规上石灰石、大理石加工业产值达到6亿元。</w:t>
      </w:r>
    </w:p>
    <w:p w14:paraId="5EB89C13">
      <w:pPr>
        <w:pStyle w:val="5"/>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四、提升农业装备技术水平</w:t>
      </w:r>
    </w:p>
    <w:p w14:paraId="152EC312">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继续推进农机装备和农业机械化转型升级，积极开展以水稻、玉米、大豆为重点的农业机械装备集成配套，构建全程机械化技术体系。研发应用甜菜、甜叶菊等作物生产配套机械装备，提高农机装备智能化水平。实施智慧农业工程和“互联网+”现代农业行动，加强农业物联网、无人机推广应用。推动兴义农机退城入园，开发适销对路产品，满足市场需求。积极引进河北凯特农业机械有限公司入驻，生产特色农机装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规上农机装备加工业产值达到1亿元。</w:t>
      </w:r>
    </w:p>
    <w:p w14:paraId="36FDAB67">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80" w:name="_Toc61280826"/>
      <w:r>
        <w:rPr>
          <w:rFonts w:hint="eastAsia" w:ascii="黑体" w:hAnsi="黑体" w:eastAsia="黑体" w:cs="黑体"/>
          <w:b w:val="0"/>
          <w:bCs w:val="0"/>
          <w:color w:val="000000" w:themeColor="text1"/>
          <w14:textFill>
            <w14:solidFill>
              <w14:schemeClr w14:val="tx1"/>
            </w14:solidFill>
          </w14:textFill>
        </w:rPr>
        <w:t>五、提升企业综合竞争力</w:t>
      </w:r>
      <w:bookmarkEnd w:id="80"/>
    </w:p>
    <w:p w14:paraId="5900176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支持农畜产品加工企业提高规模化、集约化水平。加强生产要素保障，加快重大项目推进，对市场潜力大、发展前景好的重大项目，及时落实相应的招商引资优惠政策。大力扶持中小企业发展，从税收、贷款贴息、品牌、用电、用工方面给予支持。抓好重点工业企业运行，开展精细化服务企业行动，建</w:t>
      </w:r>
      <w:r>
        <w:rPr>
          <w:rFonts w:hint="eastAsia" w:ascii="仿宋" w:hAnsi="仿宋" w:eastAsia="仿宋" w:cs="仿宋"/>
          <w:color w:val="000000" w:themeColor="text1"/>
          <w:sz w:val="32"/>
          <w:szCs w:val="32"/>
          <w:lang w:val="en-US" w:eastAsia="zh-CN"/>
          <w14:textFill>
            <w14:solidFill>
              <w14:schemeClr w14:val="tx1"/>
            </w14:solidFill>
          </w14:textFill>
        </w:rPr>
        <w:t>全</w:t>
      </w:r>
      <w:r>
        <w:rPr>
          <w:rFonts w:hint="eastAsia" w:ascii="仿宋" w:hAnsi="仿宋" w:eastAsia="仿宋" w:cs="仿宋"/>
          <w:color w:val="000000" w:themeColor="text1"/>
          <w:sz w:val="32"/>
          <w:szCs w:val="32"/>
          <w14:textFill>
            <w14:solidFill>
              <w14:schemeClr w14:val="tx1"/>
            </w14:solidFill>
          </w14:textFill>
        </w:rPr>
        <w:t>服务工业企业发展的工作机制，推动传统企业技改升级，积极盘活僵尸企业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十四五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期间，</w:t>
      </w:r>
      <w:r>
        <w:rPr>
          <w:rFonts w:hint="eastAsia" w:ascii="仿宋" w:hAnsi="仿宋" w:eastAsia="仿宋" w:cs="仿宋"/>
          <w:color w:val="000000" w:themeColor="text1"/>
          <w:sz w:val="32"/>
          <w:szCs w:val="32"/>
          <w14:textFill>
            <w14:solidFill>
              <w14:schemeClr w14:val="tx1"/>
            </w14:solidFill>
          </w14:textFill>
        </w:rPr>
        <w:t>新增规模以上工业企业</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家以上，</w:t>
      </w:r>
      <w:r>
        <w:rPr>
          <w:rFonts w:hint="eastAsia" w:ascii="仿宋" w:hAnsi="仿宋" w:eastAsia="仿宋" w:cs="仿宋"/>
          <w:color w:val="000000" w:themeColor="text1"/>
          <w:sz w:val="32"/>
          <w:szCs w:val="32"/>
          <w:lang w:val="en-US" w:eastAsia="zh-CN"/>
          <w14:textFill>
            <w14:solidFill>
              <w14:schemeClr w14:val="tx1"/>
            </w14:solidFill>
          </w14:textFill>
        </w:rPr>
        <w:t>2025年末</w:t>
      </w:r>
      <w:r>
        <w:rPr>
          <w:rFonts w:hint="eastAsia" w:ascii="仿宋" w:hAnsi="仿宋" w:eastAsia="仿宋" w:cs="仿宋"/>
          <w:color w:val="000000" w:themeColor="text1"/>
          <w:sz w:val="32"/>
          <w:szCs w:val="32"/>
          <w14:textFill>
            <w14:solidFill>
              <w14:schemeClr w14:val="tx1"/>
            </w14:solidFill>
          </w14:textFill>
        </w:rPr>
        <w:t>规上企业总数达到</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0家以上。</w:t>
      </w:r>
    </w:p>
    <w:p w14:paraId="2F136DBC">
      <w:pPr>
        <w:pStyle w:val="2"/>
        <w:rPr>
          <w:rFonts w:hint="eastAsia" w:ascii="仿宋" w:hAnsi="仿宋" w:eastAsia="仿宋" w:cs="仿宋"/>
          <w:color w:val="000000" w:themeColor="text1"/>
          <w:sz w:val="32"/>
          <w:szCs w:val="32"/>
          <w14:textFill>
            <w14:solidFill>
              <w14:schemeClr w14:val="tx1"/>
            </w14:solidFill>
          </w14:textFill>
        </w:rPr>
      </w:pPr>
    </w:p>
    <w:p w14:paraId="398B0CE3">
      <w:pPr>
        <w:pStyle w:val="2"/>
        <w:rPr>
          <w:rFonts w:hint="eastAsia" w:ascii="仿宋" w:hAnsi="仿宋" w:eastAsia="仿宋" w:cs="仿宋"/>
          <w:color w:val="000000" w:themeColor="text1"/>
          <w:sz w:val="32"/>
          <w:szCs w:val="32"/>
          <w14:textFill>
            <w14:solidFill>
              <w14:schemeClr w14:val="tx1"/>
            </w14:solidFill>
          </w14:textFill>
        </w:rPr>
      </w:pPr>
    </w:p>
    <w:p w14:paraId="02916A03">
      <w:pPr>
        <w:pStyle w:val="2"/>
        <w:rPr>
          <w:rFonts w:hint="eastAsia" w:ascii="仿宋" w:hAnsi="仿宋" w:eastAsia="仿宋" w:cs="仿宋"/>
          <w:color w:val="000000" w:themeColor="text1"/>
          <w:sz w:val="32"/>
          <w:szCs w:val="32"/>
          <w14:textFill>
            <w14:solidFill>
              <w14:schemeClr w14:val="tx1"/>
            </w14:solidFill>
          </w14:textFill>
        </w:rPr>
      </w:pPr>
    </w:p>
    <w:p w14:paraId="6219465B">
      <w:pPr>
        <w:pStyle w:val="2"/>
        <w:rPr>
          <w:rFonts w:hint="eastAsia" w:ascii="仿宋" w:hAnsi="仿宋" w:eastAsia="仿宋" w:cs="仿宋"/>
          <w:color w:val="000000" w:themeColor="text1"/>
          <w:sz w:val="32"/>
          <w:szCs w:val="32"/>
          <w14:textFill>
            <w14:solidFill>
              <w14:schemeClr w14:val="tx1"/>
            </w14:solidFill>
          </w14:textFill>
        </w:rPr>
      </w:pPr>
    </w:p>
    <w:p w14:paraId="5BFC18BD">
      <w:pPr>
        <w:pStyle w:val="2"/>
        <w:rPr>
          <w:rFonts w:hint="eastAsia" w:ascii="仿宋" w:hAnsi="仿宋" w:eastAsia="仿宋" w:cs="仿宋"/>
          <w:color w:val="000000" w:themeColor="text1"/>
          <w:sz w:val="32"/>
          <w:szCs w:val="32"/>
          <w14:textFill>
            <w14:solidFill>
              <w14:schemeClr w14:val="tx1"/>
            </w14:solidFill>
          </w14:textFill>
        </w:rPr>
      </w:pPr>
    </w:p>
    <w:tbl>
      <w:tblPr>
        <w:tblStyle w:val="13"/>
        <w:tblW w:w="8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0"/>
      </w:tblGrid>
      <w:tr w14:paraId="53FC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80" w:type="dxa"/>
            <w:tcBorders>
              <w:top w:val="single" w:color="auto" w:sz="4" w:space="0"/>
              <w:left w:val="single" w:color="auto" w:sz="4" w:space="0"/>
              <w:bottom w:val="single" w:color="auto" w:sz="4" w:space="0"/>
              <w:right w:val="single" w:color="auto" w:sz="4" w:space="0"/>
            </w:tcBorders>
          </w:tcPr>
          <w:p w14:paraId="5DF43838">
            <w:pPr>
              <w:widowControl w:val="0"/>
              <w:spacing w:line="360" w:lineRule="auto"/>
              <w:jc w:val="center"/>
              <w:rPr>
                <w:rFonts w:hint="eastAsia" w:ascii="仿宋" w:hAnsi="仿宋" w:eastAsia="仿宋" w:cs="仿宋"/>
                <w:bCs/>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专栏4：“十四五”工业发展项目</w:t>
            </w:r>
          </w:p>
        </w:tc>
      </w:tr>
      <w:tr w14:paraId="54DE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1" w:hRule="atLeast"/>
        </w:trPr>
        <w:tc>
          <w:tcPr>
            <w:tcW w:w="8180" w:type="dxa"/>
            <w:tcBorders>
              <w:top w:val="single" w:color="auto" w:sz="4" w:space="0"/>
              <w:left w:val="single" w:color="auto" w:sz="4" w:space="0"/>
              <w:bottom w:val="single" w:color="auto" w:sz="4" w:space="0"/>
              <w:right w:val="single" w:color="auto" w:sz="4" w:space="0"/>
            </w:tcBorders>
          </w:tcPr>
          <w:p w14:paraId="7045699D">
            <w:pPr>
              <w:widowControl w:val="0"/>
              <w:numPr>
                <w:ilvl w:val="0"/>
                <w:numId w:val="0"/>
              </w:numPr>
              <w:spacing w:line="360" w:lineRule="auto"/>
              <w:jc w:val="both"/>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一、传统产业类</w:t>
            </w:r>
          </w:p>
          <w:p w14:paraId="0528422C">
            <w:pPr>
              <w:widowControl w:val="0"/>
              <w:numPr>
                <w:ilvl w:val="0"/>
                <w:numId w:val="6"/>
              </w:numPr>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扎旗环宇化工年产5000吨糠醛生产线迁址扩建项目</w:t>
            </w:r>
          </w:p>
          <w:p w14:paraId="29B034CA">
            <w:pPr>
              <w:widowControl w:val="0"/>
              <w:numPr>
                <w:ilvl w:val="0"/>
                <w:numId w:val="6"/>
              </w:numPr>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扎旗永林生物热电联产及工业园区管网建设项目</w:t>
            </w:r>
          </w:p>
          <w:p w14:paraId="154CAB36">
            <w:pPr>
              <w:widowControl w:val="0"/>
              <w:numPr>
                <w:ilvl w:val="0"/>
                <w:numId w:val="6"/>
              </w:numPr>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扎旗天翼石材技改雕塑加工项目</w:t>
            </w:r>
          </w:p>
          <w:p w14:paraId="2E595894">
            <w:pPr>
              <w:widowControl w:val="0"/>
              <w:numPr>
                <w:ilvl w:val="0"/>
                <w:numId w:val="6"/>
              </w:numPr>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龙鼎农业的生物酵素加工项目</w:t>
            </w:r>
          </w:p>
          <w:p w14:paraId="752CE470">
            <w:pPr>
              <w:widowControl w:val="0"/>
              <w:numPr>
                <w:ilvl w:val="0"/>
                <w:numId w:val="6"/>
              </w:numPr>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保安沼甜菊糖技改扩能项目</w:t>
            </w:r>
          </w:p>
          <w:p w14:paraId="49053C98">
            <w:pPr>
              <w:widowControl w:val="0"/>
              <w:numPr>
                <w:ilvl w:val="0"/>
                <w:numId w:val="6"/>
              </w:numPr>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神马矿业碳酸钙加工项目</w:t>
            </w:r>
          </w:p>
          <w:p w14:paraId="6843CF92">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7、绿草地酒业年产500吨白酒项目</w:t>
            </w:r>
          </w:p>
          <w:p w14:paraId="54E26F93">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8、内蒙古润谷酒业年产1500吨白酒项目</w:t>
            </w:r>
          </w:p>
          <w:p w14:paraId="76867CFE">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9、玉米酒精、柠檬酸项目</w:t>
            </w:r>
          </w:p>
          <w:p w14:paraId="6BAEEDE1">
            <w:pPr>
              <w:widowControl w:val="0"/>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10、新谷园的杂粮预熟技改项目</w:t>
            </w:r>
          </w:p>
          <w:p w14:paraId="1A352A04">
            <w:pPr>
              <w:widowControl w:val="0"/>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11、牧原饲料60万吨饲料加工项目</w:t>
            </w:r>
          </w:p>
          <w:p w14:paraId="211FB8C4">
            <w:pPr>
              <w:widowControl w:val="0"/>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12、龙鼎农业的有机肥生产项目</w:t>
            </w:r>
          </w:p>
          <w:p w14:paraId="1FC240BE">
            <w:pPr>
              <w:widowControl w:val="0"/>
              <w:spacing w:line="360" w:lineRule="auto"/>
              <w:ind w:firstLine="48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13、谷语现代农业智能化改造项目</w:t>
            </w:r>
          </w:p>
          <w:p w14:paraId="2B876A57">
            <w:pPr>
              <w:pStyle w:val="2"/>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14、魏佳米业技改扩能项目</w:t>
            </w:r>
          </w:p>
          <w:p w14:paraId="4A0C7273">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1</w:t>
            </w:r>
            <w:r>
              <w:rPr>
                <w:rFonts w:hint="eastAsia" w:ascii="宋体" w:hAnsi="宋体" w:eastAsia="宋体" w:cs="宋体"/>
                <w:bCs/>
                <w:color w:val="000000" w:themeColor="text1"/>
                <w:lang w:val="en-US" w:eastAsia="zh-CN"/>
                <w14:textFill>
                  <w14:solidFill>
                    <w14:schemeClr w14:val="tx1"/>
                  </w14:solidFill>
                </w14:textFill>
              </w:rPr>
              <w:t>5</w:t>
            </w:r>
            <w:r>
              <w:rPr>
                <w:rFonts w:hint="eastAsia" w:ascii="宋体" w:hAnsi="宋体" w:eastAsia="宋体" w:cs="宋体"/>
                <w:bCs/>
                <w:color w:val="000000" w:themeColor="text1"/>
                <w14:textFill>
                  <w14:solidFill>
                    <w14:schemeClr w14:val="tx1"/>
                  </w14:solidFill>
                </w14:textFill>
              </w:rPr>
              <w:t>、文得根水库装机3.6万KW项目</w:t>
            </w:r>
          </w:p>
          <w:p w14:paraId="6EF084A5">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1</w:t>
            </w:r>
            <w:r>
              <w:rPr>
                <w:rFonts w:hint="eastAsia" w:ascii="宋体" w:hAnsi="宋体" w:eastAsia="宋体" w:cs="宋体"/>
                <w:bCs/>
                <w:color w:val="000000" w:themeColor="text1"/>
                <w:lang w:val="en-US" w:eastAsia="zh-CN"/>
                <w14:textFill>
                  <w14:solidFill>
                    <w14:schemeClr w14:val="tx1"/>
                  </w14:solidFill>
                </w14:textFill>
              </w:rPr>
              <w:t>6</w:t>
            </w:r>
            <w:r>
              <w:rPr>
                <w:rFonts w:hint="eastAsia" w:ascii="宋体" w:hAnsi="宋体" w:eastAsia="宋体" w:cs="宋体"/>
                <w:bCs/>
                <w:color w:val="000000" w:themeColor="text1"/>
                <w14:textFill>
                  <w14:solidFill>
                    <w14:schemeClr w14:val="tx1"/>
                  </w14:solidFill>
                </w14:textFill>
              </w:rPr>
              <w:t>、凯特农机的农机装备项目</w:t>
            </w:r>
          </w:p>
          <w:p w14:paraId="5137BEA9">
            <w:pPr>
              <w:widowControl w:val="0"/>
              <w:spacing w:line="360" w:lineRule="auto"/>
              <w:jc w:val="both"/>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w:t>
            </w:r>
            <w:r>
              <w:rPr>
                <w:rFonts w:hint="eastAsia" w:ascii="宋体" w:hAnsi="宋体" w:eastAsia="宋体" w:cs="宋体"/>
                <w:bCs/>
                <w:color w:val="000000" w:themeColor="text1"/>
                <w:lang w:eastAsia="zh-CN"/>
                <w14:textFill>
                  <w14:solidFill>
                    <w14:schemeClr w14:val="tx1"/>
                  </w14:solidFill>
                </w14:textFill>
              </w:rPr>
              <w:t>　二、数字经济类</w:t>
            </w:r>
          </w:p>
          <w:p w14:paraId="0B1FBC96">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w:t>
            </w:r>
            <w:r>
              <w:rPr>
                <w:rFonts w:hint="eastAsia" w:ascii="宋体" w:hAnsi="宋体" w:eastAsia="宋体" w:cs="宋体"/>
                <w:bCs/>
                <w:color w:val="000000" w:themeColor="text1"/>
                <w14:textFill>
                  <w14:solidFill>
                    <w14:schemeClr w14:val="tx1"/>
                  </w14:solidFill>
                </w14:textFill>
              </w:rPr>
              <w:t>　1</w:t>
            </w:r>
            <w:r>
              <w:rPr>
                <w:rFonts w:hint="eastAsia" w:ascii="宋体" w:hAnsi="宋体" w:eastAsia="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、扎赉特旗智慧城市建设</w:t>
            </w:r>
          </w:p>
          <w:p w14:paraId="79F24D1E">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lang w:bidi="ar"/>
                <w14:textFill>
                  <w14:solidFill>
                    <w14:schemeClr w14:val="tx1"/>
                  </w14:solidFill>
                </w14:textFill>
              </w:rPr>
              <w:t>　　1</w:t>
            </w:r>
            <w:r>
              <w:rPr>
                <w:rFonts w:hint="eastAsia" w:ascii="宋体" w:hAnsi="宋体" w:eastAsia="宋体" w:cs="宋体"/>
                <w:color w:val="000000" w:themeColor="text1"/>
                <w:kern w:val="0"/>
                <w:lang w:val="en-US" w:eastAsia="zh-CN" w:bidi="ar"/>
                <w14:textFill>
                  <w14:solidFill>
                    <w14:schemeClr w14:val="tx1"/>
                  </w14:solidFill>
                </w14:textFill>
              </w:rPr>
              <w:t>8</w:t>
            </w:r>
            <w:r>
              <w:rPr>
                <w:rFonts w:hint="eastAsia" w:ascii="宋体" w:hAnsi="宋体" w:eastAsia="宋体" w:cs="宋体"/>
                <w:color w:val="000000" w:themeColor="text1"/>
                <w:kern w:val="0"/>
                <w:lang w:bidi="ar"/>
                <w14:textFill>
                  <w14:solidFill>
                    <w14:schemeClr w14:val="tx1"/>
                  </w14:solidFill>
                </w14:textFill>
              </w:rPr>
              <w:t>、扎赉特旗智慧旅游服务平台建设项目</w:t>
            </w:r>
          </w:p>
          <w:p w14:paraId="2823F557">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lang w:bidi="ar"/>
                <w14:textFill>
                  <w14:solidFill>
                    <w14:schemeClr w14:val="tx1"/>
                  </w14:solidFill>
                </w14:textFill>
              </w:rPr>
              <w:t>　　1</w:t>
            </w:r>
            <w:r>
              <w:rPr>
                <w:rFonts w:hint="eastAsia" w:ascii="宋体" w:hAnsi="宋体" w:eastAsia="宋体" w:cs="宋体"/>
                <w:color w:val="000000" w:themeColor="text1"/>
                <w:kern w:val="0"/>
                <w:lang w:val="en-US" w:eastAsia="zh-CN" w:bidi="ar"/>
                <w14:textFill>
                  <w14:solidFill>
                    <w14:schemeClr w14:val="tx1"/>
                  </w14:solidFill>
                </w14:textFill>
              </w:rPr>
              <w:t>9</w:t>
            </w:r>
            <w:r>
              <w:rPr>
                <w:rFonts w:hint="eastAsia" w:ascii="宋体" w:hAnsi="宋体" w:eastAsia="宋体" w:cs="宋体"/>
                <w:color w:val="000000" w:themeColor="text1"/>
                <w:kern w:val="0"/>
                <w:lang w:bidi="ar"/>
                <w14:textFill>
                  <w14:solidFill>
                    <w14:schemeClr w14:val="tx1"/>
                  </w14:solidFill>
                </w14:textFill>
              </w:rPr>
              <w:t>、扎赉特旗5G网络推广覆盖建设项目</w:t>
            </w:r>
          </w:p>
          <w:p w14:paraId="2F62C629">
            <w:pPr>
              <w:widowControl w:val="0"/>
              <w:spacing w:line="360" w:lineRule="auto"/>
              <w:jc w:val="both"/>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w:t>
            </w:r>
            <w:r>
              <w:rPr>
                <w:rFonts w:hint="eastAsia" w:ascii="宋体" w:hAnsi="宋体" w:eastAsia="宋体" w:cs="宋体"/>
                <w:bCs/>
                <w:color w:val="000000" w:themeColor="text1"/>
                <w:lang w:eastAsia="zh-CN"/>
                <w14:textFill>
                  <w14:solidFill>
                    <w14:schemeClr w14:val="tx1"/>
                  </w14:solidFill>
                </w14:textFill>
              </w:rPr>
              <w:t>三、冷链物流及产业园类</w:t>
            </w:r>
          </w:p>
          <w:p w14:paraId="6FFA54EA">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w:t>
            </w:r>
            <w:r>
              <w:rPr>
                <w:rFonts w:hint="eastAsia" w:ascii="宋体" w:hAnsi="宋体" w:eastAsia="宋体" w:cs="宋体"/>
                <w:bCs/>
                <w:color w:val="000000" w:themeColor="text1"/>
                <w:lang w:val="en-US" w:eastAsia="zh-CN"/>
                <w14:textFill>
                  <w14:solidFill>
                    <w14:schemeClr w14:val="tx1"/>
                  </w14:solidFill>
                </w14:textFill>
              </w:rPr>
              <w:t>20</w:t>
            </w:r>
            <w:r>
              <w:rPr>
                <w:rFonts w:hint="eastAsia" w:ascii="宋体" w:hAnsi="宋体" w:eastAsia="宋体" w:cs="宋体"/>
                <w:bCs/>
                <w:color w:val="000000" w:themeColor="text1"/>
                <w14:textFill>
                  <w14:solidFill>
                    <w14:schemeClr w14:val="tx1"/>
                  </w14:solidFill>
                </w14:textFill>
              </w:rPr>
              <w:t>、天牧臻标准化牛羊屠宰加工冷链物流园区</w:t>
            </w:r>
          </w:p>
          <w:p w14:paraId="36F61A06">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2</w:t>
            </w:r>
            <w:r>
              <w:rPr>
                <w:rFonts w:hint="eastAsia" w:ascii="宋体" w:hAnsi="宋体" w:eastAsia="宋体" w:cs="宋体"/>
                <w:bCs/>
                <w:color w:val="000000" w:themeColor="text1"/>
                <w:lang w:val="en-US" w:eastAsia="zh-CN"/>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、道地药材产业融合示范区项目</w:t>
            </w:r>
          </w:p>
          <w:p w14:paraId="157AB0D1">
            <w:pPr>
              <w:widowControl w:val="0"/>
              <w:spacing w:line="360" w:lineRule="auto"/>
              <w:jc w:val="both"/>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w:t>
            </w:r>
            <w:r>
              <w:rPr>
                <w:rFonts w:hint="eastAsia" w:ascii="宋体" w:hAnsi="宋体" w:eastAsia="宋体" w:cs="宋体"/>
                <w:bCs/>
                <w:color w:val="000000" w:themeColor="text1"/>
                <w:lang w:eastAsia="zh-CN"/>
                <w14:textFill>
                  <w14:solidFill>
                    <w14:schemeClr w14:val="tx1"/>
                  </w14:solidFill>
                </w14:textFill>
              </w:rPr>
              <w:t>四、新型能源类</w:t>
            </w:r>
          </w:p>
          <w:p w14:paraId="551DC932">
            <w:pPr>
              <w:widowControl w:val="0"/>
              <w:spacing w:line="360" w:lineRule="auto"/>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w:t>
            </w:r>
            <w:r>
              <w:rPr>
                <w:rFonts w:hint="eastAsia" w:ascii="宋体" w:hAnsi="宋体" w:eastAsia="宋体" w:cs="宋体"/>
                <w:bCs/>
                <w:color w:val="000000" w:themeColor="text1"/>
                <w14:textFill>
                  <w14:solidFill>
                    <w14:schemeClr w14:val="tx1"/>
                  </w14:solidFill>
                </w14:textFill>
              </w:rPr>
              <w:t>2</w:t>
            </w:r>
            <w:r>
              <w:rPr>
                <w:rFonts w:hint="eastAsia" w:ascii="宋体" w:hAnsi="宋体" w:eastAsia="宋体" w:cs="宋体"/>
                <w:bCs/>
                <w:color w:val="000000" w:themeColor="text1"/>
                <w:lang w:val="en-US" w:eastAsia="zh-CN"/>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、华能扎赉特旗文得根水库500兆瓦水风光储一体化项目</w:t>
            </w:r>
          </w:p>
          <w:p w14:paraId="7210522D">
            <w:pPr>
              <w:widowControl w:val="0"/>
              <w:spacing w:line="360" w:lineRule="auto"/>
              <w:jc w:val="both"/>
              <w:rPr>
                <w:rFonts w:hint="eastAsia" w:ascii="仿宋" w:hAnsi="仿宋" w:eastAsia="仿宋" w:cs="仿宋"/>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2</w:t>
            </w:r>
            <w:r>
              <w:rPr>
                <w:rFonts w:hint="eastAsia" w:ascii="宋体" w:hAnsi="宋体" w:eastAsia="宋体" w:cs="宋体"/>
                <w:bCs/>
                <w:color w:val="000000" w:themeColor="text1"/>
                <w:lang w:val="en-US" w:eastAsia="zh-CN"/>
                <w14:textFill>
                  <w14:solidFill>
                    <w14:schemeClr w14:val="tx1"/>
                  </w14:solidFill>
                </w14:textFill>
              </w:rPr>
              <w:t>3</w:t>
            </w:r>
            <w:r>
              <w:rPr>
                <w:rFonts w:hint="eastAsia" w:ascii="宋体" w:hAnsi="宋体" w:eastAsia="宋体" w:cs="宋体"/>
                <w:bCs/>
                <w:color w:val="000000" w:themeColor="text1"/>
                <w14:textFill>
                  <w14:solidFill>
                    <w14:schemeClr w14:val="tx1"/>
                  </w14:solidFill>
                </w14:textFill>
              </w:rPr>
              <w:t>、华能扎赉特旗绰勒水库500兆瓦光伏+储能项目</w:t>
            </w:r>
          </w:p>
        </w:tc>
      </w:tr>
    </w:tbl>
    <w:p w14:paraId="211E4C3C">
      <w:pPr>
        <w:spacing w:line="360" w:lineRule="auto"/>
        <w:jc w:val="both"/>
        <w:rPr>
          <w:rFonts w:hint="eastAsia" w:ascii="仿宋" w:hAnsi="仿宋" w:eastAsia="仿宋" w:cs="仿宋"/>
          <w:color w:val="000000" w:themeColor="text1"/>
          <w14:textFill>
            <w14:solidFill>
              <w14:schemeClr w14:val="tx1"/>
            </w14:solidFill>
          </w14:textFill>
        </w:rPr>
      </w:pPr>
    </w:p>
    <w:p w14:paraId="7134896A">
      <w:pPr>
        <w:pStyle w:val="4"/>
        <w:pageBreakBefore w:val="0"/>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81" w:name="_Toc61280827"/>
      <w:bookmarkStart w:id="82" w:name="_Toc18583"/>
      <w:bookmarkStart w:id="83" w:name="_Toc12477"/>
      <w:bookmarkStart w:id="84" w:name="_Toc5755"/>
      <w:r>
        <w:rPr>
          <w:rFonts w:hint="eastAsia" w:ascii="仿宋" w:hAnsi="仿宋" w:eastAsia="仿宋" w:cs="仿宋"/>
          <w:color w:val="000000" w:themeColor="text1"/>
          <w14:textFill>
            <w14:solidFill>
              <w14:schemeClr w14:val="tx1"/>
            </w14:solidFill>
          </w14:textFill>
        </w:rPr>
        <w:t xml:space="preserve">第三节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加快发展现代服务业</w:t>
      </w:r>
      <w:bookmarkEnd w:id="81"/>
      <w:bookmarkEnd w:id="82"/>
      <w:bookmarkEnd w:id="83"/>
      <w:bookmarkEnd w:id="84"/>
    </w:p>
    <w:p w14:paraId="06685D0B">
      <w:pPr>
        <w:pStyle w:val="5"/>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b w:val="0"/>
          <w:bCs w:val="0"/>
          <w:color w:val="000000" w:themeColor="text1"/>
          <w:kern w:val="0"/>
          <w14:textFill>
            <w14:solidFill>
              <w14:schemeClr w14:val="tx1"/>
            </w14:solidFill>
          </w14:textFill>
        </w:rPr>
      </w:pPr>
      <w:bookmarkStart w:id="85" w:name="_Toc61280828"/>
      <w:r>
        <w:rPr>
          <w:rFonts w:hint="eastAsia" w:ascii="黑体" w:hAnsi="黑体" w:eastAsia="黑体" w:cs="黑体"/>
          <w:b w:val="0"/>
          <w:bCs w:val="0"/>
          <w:color w:val="000000" w:themeColor="text1"/>
          <w:kern w:val="0"/>
          <w14:textFill>
            <w14:solidFill>
              <w14:schemeClr w14:val="tx1"/>
            </w14:solidFill>
          </w14:textFill>
        </w:rPr>
        <w:t>一、推进生活性服务业提质增效</w:t>
      </w:r>
      <w:bookmarkEnd w:id="85"/>
    </w:p>
    <w:p w14:paraId="5E78995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大力</w:t>
      </w:r>
      <w:r>
        <w:rPr>
          <w:rFonts w:hint="eastAsia" w:ascii="仿宋" w:hAnsi="仿宋" w:eastAsia="仿宋" w:cs="仿宋"/>
          <w:color w:val="000000" w:themeColor="text1"/>
          <w:sz w:val="32"/>
          <w:szCs w:val="32"/>
          <w14:textFill>
            <w14:solidFill>
              <w14:schemeClr w14:val="tx1"/>
            </w14:solidFill>
          </w14:textFill>
        </w:rPr>
        <w:t>发展家政、体育、文化、法律、批发零售、住宿餐饮、养老托幼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教育培训等贴近人民群众生活、需求潜力大、带动作用强的生活性服务</w:t>
      </w:r>
      <w:r>
        <w:rPr>
          <w:rFonts w:hint="eastAsia" w:ascii="仿宋" w:hAnsi="仿宋" w:eastAsia="仿宋" w:cs="仿宋"/>
          <w:color w:val="000000" w:themeColor="text1"/>
          <w:sz w:val="32"/>
          <w:szCs w:val="32"/>
          <w:lang w:val="en-US" w:eastAsia="zh-CN"/>
          <w14:textFill>
            <w14:solidFill>
              <w14:schemeClr w14:val="tx1"/>
            </w14:solidFill>
          </w14:textFill>
        </w:rPr>
        <w:t>业。</w:t>
      </w:r>
      <w:r>
        <w:rPr>
          <w:rFonts w:hint="eastAsia" w:ascii="仿宋" w:hAnsi="仿宋" w:eastAsia="仿宋" w:cs="仿宋"/>
          <w:color w:val="000000" w:themeColor="text1"/>
          <w:sz w:val="32"/>
          <w:szCs w:val="32"/>
          <w14:textFill>
            <w14:solidFill>
              <w14:schemeClr w14:val="tx1"/>
            </w14:solidFill>
          </w14:textFill>
        </w:rPr>
        <w:t>积极培育新业态、新模式，全面提升生活性服务业质量和效益。加快社区服务产业化、社会化进程，提高社区服务水平。</w:t>
      </w:r>
    </w:p>
    <w:p w14:paraId="1132372B">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kern w:val="0"/>
          <w14:textFill>
            <w14:solidFill>
              <w14:schemeClr w14:val="tx1"/>
            </w14:solidFill>
          </w14:textFill>
        </w:rPr>
      </w:pPr>
      <w:bookmarkStart w:id="86" w:name="_Toc61280829"/>
      <w:r>
        <w:rPr>
          <w:rFonts w:hint="eastAsia" w:ascii="黑体" w:hAnsi="黑体" w:eastAsia="黑体" w:cs="黑体"/>
          <w:b w:val="0"/>
          <w:bCs w:val="0"/>
          <w:color w:val="000000" w:themeColor="text1"/>
          <w:kern w:val="0"/>
          <w14:textFill>
            <w14:solidFill>
              <w14:schemeClr w14:val="tx1"/>
            </w14:solidFill>
          </w14:textFill>
        </w:rPr>
        <w:t>二、提升农</w:t>
      </w:r>
      <w:r>
        <w:rPr>
          <w:rFonts w:hint="eastAsia" w:ascii="黑体" w:hAnsi="黑体" w:eastAsia="黑体" w:cs="黑体"/>
          <w:b w:val="0"/>
          <w:bCs w:val="0"/>
          <w:color w:val="000000" w:themeColor="text1"/>
          <w:kern w:val="0"/>
          <w:lang w:eastAsia="zh-CN"/>
          <w14:textFill>
            <w14:solidFill>
              <w14:schemeClr w14:val="tx1"/>
            </w14:solidFill>
          </w14:textFill>
        </w:rPr>
        <w:t>牧</w:t>
      </w:r>
      <w:r>
        <w:rPr>
          <w:rFonts w:hint="eastAsia" w:ascii="黑体" w:hAnsi="黑体" w:eastAsia="黑体" w:cs="黑体"/>
          <w:b w:val="0"/>
          <w:bCs w:val="0"/>
          <w:color w:val="000000" w:themeColor="text1"/>
          <w:kern w:val="0"/>
          <w14:textFill>
            <w14:solidFill>
              <w14:schemeClr w14:val="tx1"/>
            </w14:solidFill>
          </w14:textFill>
        </w:rPr>
        <w:t>业生产性服务业</w:t>
      </w:r>
      <w:bookmarkEnd w:id="86"/>
    </w:p>
    <w:p w14:paraId="7997DBF5">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国家现代农业产业园建设为核心，搭建区域农业生产性服务综合平台，重点开展农技推广、土地托管、代耕代种、烘干收储等农业生产性服务，以及市场信息、农资供应、农业废弃物资源化利用、农机作业及维修、农产品营销等服务。加快推进农业生产托管服务，支持发展农村集体经济组织、供销合作社专业化服务组织、服务型农民合作社，提升农业生产托管覆盖范围。加大供销合作社网络覆盖度，2025年全国标杆社</w:t>
      </w:r>
      <w:r>
        <w:rPr>
          <w:rFonts w:hint="eastAsia" w:ascii="仿宋" w:hAnsi="仿宋" w:eastAsia="仿宋" w:cs="仿宋"/>
          <w:color w:val="000000" w:themeColor="text1"/>
          <w:sz w:val="32"/>
          <w:szCs w:val="32"/>
          <w:lang w:val="en-US" w:eastAsia="zh-CN"/>
          <w14:textFill>
            <w14:solidFill>
              <w14:schemeClr w14:val="tx1"/>
            </w14:solidFill>
          </w14:textFill>
        </w:rPr>
        <w:t>占比</w:t>
      </w:r>
      <w:r>
        <w:rPr>
          <w:rFonts w:hint="eastAsia" w:ascii="仿宋" w:hAnsi="仿宋" w:eastAsia="仿宋" w:cs="仿宋"/>
          <w:color w:val="000000" w:themeColor="text1"/>
          <w:sz w:val="32"/>
          <w:szCs w:val="32"/>
          <w14:textFill>
            <w14:solidFill>
              <w14:schemeClr w14:val="tx1"/>
            </w14:solidFill>
          </w14:textFill>
        </w:rPr>
        <w:t>达到10%，自治区标杆社</w:t>
      </w:r>
      <w:r>
        <w:rPr>
          <w:rFonts w:hint="eastAsia" w:ascii="仿宋" w:hAnsi="仿宋" w:eastAsia="仿宋" w:cs="仿宋"/>
          <w:color w:val="000000" w:themeColor="text1"/>
          <w:sz w:val="32"/>
          <w:szCs w:val="32"/>
          <w:lang w:val="en-US" w:eastAsia="zh-CN"/>
          <w14:textFill>
            <w14:solidFill>
              <w14:schemeClr w14:val="tx1"/>
            </w14:solidFill>
          </w14:textFill>
        </w:rPr>
        <w:t>占比</w:t>
      </w:r>
      <w:r>
        <w:rPr>
          <w:rFonts w:hint="eastAsia" w:ascii="仿宋" w:hAnsi="仿宋" w:eastAsia="仿宋" w:cs="仿宋"/>
          <w:color w:val="000000" w:themeColor="text1"/>
          <w:sz w:val="32"/>
          <w:szCs w:val="32"/>
          <w14:textFill>
            <w14:solidFill>
              <w14:schemeClr w14:val="tx1"/>
            </w14:solidFill>
          </w14:textFill>
        </w:rPr>
        <w:t>达到30%，盟级标杆社</w:t>
      </w:r>
      <w:r>
        <w:rPr>
          <w:rFonts w:hint="eastAsia" w:ascii="仿宋" w:hAnsi="仿宋" w:eastAsia="仿宋" w:cs="仿宋"/>
          <w:color w:val="000000" w:themeColor="text1"/>
          <w:sz w:val="32"/>
          <w:szCs w:val="32"/>
          <w:lang w:val="en-US" w:eastAsia="zh-CN"/>
          <w14:textFill>
            <w14:solidFill>
              <w14:schemeClr w14:val="tx1"/>
            </w14:solidFill>
          </w14:textFill>
        </w:rPr>
        <w:t>占比</w:t>
      </w:r>
      <w:r>
        <w:rPr>
          <w:rFonts w:hint="eastAsia" w:ascii="仿宋" w:hAnsi="仿宋" w:eastAsia="仿宋" w:cs="仿宋"/>
          <w:color w:val="000000" w:themeColor="text1"/>
          <w:sz w:val="32"/>
          <w:szCs w:val="32"/>
          <w14:textFill>
            <w14:solidFill>
              <w14:schemeClr w14:val="tx1"/>
            </w14:solidFill>
          </w14:textFill>
        </w:rPr>
        <w:t>达到60%。每个基层合作社领办创办农民合作社2个以上，总数达50家，为农民生产生活提供全方位、多样化服务。</w:t>
      </w:r>
    </w:p>
    <w:p w14:paraId="059864AB">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14:textFill>
            <w14:solidFill>
              <w14:schemeClr w14:val="tx1"/>
            </w14:solidFill>
          </w14:textFill>
        </w:rPr>
      </w:pPr>
      <w:bookmarkStart w:id="87" w:name="_Toc61280830"/>
      <w:r>
        <w:rPr>
          <w:rFonts w:hint="eastAsia" w:ascii="黑体" w:hAnsi="黑体" w:eastAsia="黑体" w:cs="黑体"/>
          <w:b w:val="0"/>
          <w:bCs w:val="0"/>
          <w:color w:val="000000" w:themeColor="text1"/>
          <w14:textFill>
            <w14:solidFill>
              <w14:schemeClr w14:val="tx1"/>
            </w14:solidFill>
          </w14:textFill>
        </w:rPr>
        <w:t>三、加快建设现代流通体系</w:t>
      </w:r>
      <w:bookmarkEnd w:id="87"/>
    </w:p>
    <w:p w14:paraId="615DEB3E">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构建旗域四大流通市场网络。</w:t>
      </w:r>
      <w:r>
        <w:rPr>
          <w:rFonts w:hint="eastAsia" w:ascii="仿宋" w:hAnsi="仿宋" w:eastAsia="仿宋" w:cs="仿宋"/>
          <w:color w:val="000000" w:themeColor="text1"/>
          <w:sz w:val="32"/>
          <w:szCs w:val="32"/>
          <w14:textFill>
            <w14:solidFill>
              <w14:schemeClr w14:val="tx1"/>
            </w14:solidFill>
          </w14:textFill>
        </w:rPr>
        <w:t>依托“万村千乡市场工程”承办企业配送中心，建设日用品农资下乡网络。以重点再生资源回收企业为重点，众多回收点为基础，营造再生资源回收利用网络。</w:t>
      </w:r>
      <w:r>
        <w:rPr>
          <w:rFonts w:hint="eastAsia" w:ascii="仿宋" w:hAnsi="仿宋" w:eastAsia="仿宋" w:cs="仿宋"/>
          <w:color w:val="000000" w:themeColor="text1"/>
          <w:sz w:val="32"/>
          <w:szCs w:val="32"/>
          <w:lang w:val="en-US" w:eastAsia="zh-CN"/>
          <w14:textFill>
            <w14:solidFill>
              <w14:schemeClr w14:val="tx1"/>
            </w14:solidFill>
          </w14:textFill>
        </w:rPr>
        <w:t>支持</w:t>
      </w:r>
      <w:r>
        <w:rPr>
          <w:rFonts w:hint="eastAsia" w:ascii="仿宋" w:hAnsi="仿宋" w:eastAsia="仿宋" w:cs="仿宋"/>
          <w:color w:val="000000" w:themeColor="text1"/>
          <w:sz w:val="32"/>
          <w:szCs w:val="32"/>
          <w14:textFill>
            <w14:solidFill>
              <w14:schemeClr w14:val="tx1"/>
            </w14:solidFill>
          </w14:textFill>
        </w:rPr>
        <w:t>农产品市场和流通加工企业与农产品基地建立长期联盟，形成畅通、便捷、高效率、低成本的农产品进城物流网络。建立完善粮食收储运转流通网络和商务信息服务网络。</w:t>
      </w:r>
    </w:p>
    <w:p w14:paraId="300CFB2A">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大力培育市场流通主体。</w:t>
      </w:r>
      <w:r>
        <w:rPr>
          <w:rFonts w:hint="eastAsia" w:ascii="仿宋" w:hAnsi="仿宋" w:eastAsia="仿宋" w:cs="仿宋"/>
          <w:color w:val="000000" w:themeColor="text1"/>
          <w:sz w:val="32"/>
          <w:szCs w:val="32"/>
          <w14:textFill>
            <w14:solidFill>
              <w14:schemeClr w14:val="tx1"/>
            </w14:solidFill>
          </w14:textFill>
        </w:rPr>
        <w:t>积极用好中小商贸流通企业政策，扶持市场和流通企业发展壮大。培育引进大型超市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市场和大型流通企业。培育和发展各类流通合作组织和经纪人队伍。鼓励和支持供销社推进开放办社，提高经营活力和市场竞争力。</w:t>
      </w:r>
    </w:p>
    <w:p w14:paraId="315F61F5">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加快</w:t>
      </w:r>
      <w:r>
        <w:rPr>
          <w:rFonts w:hint="eastAsia" w:ascii="仿宋" w:hAnsi="仿宋" w:eastAsia="仿宋" w:cs="仿宋"/>
          <w:b/>
          <w:bCs/>
          <w:color w:val="000000" w:themeColor="text1"/>
          <w:sz w:val="32"/>
          <w:szCs w:val="32"/>
          <w14:textFill>
            <w14:solidFill>
              <w14:schemeClr w14:val="tx1"/>
            </w14:solidFill>
          </w14:textFill>
        </w:rPr>
        <w:t>推进</w:t>
      </w:r>
      <w:r>
        <w:rPr>
          <w:rFonts w:hint="eastAsia" w:ascii="仿宋" w:hAnsi="仿宋" w:eastAsia="仿宋" w:cs="仿宋"/>
          <w:b/>
          <w:bCs/>
          <w:color w:val="000000" w:themeColor="text1"/>
          <w:sz w:val="32"/>
          <w:szCs w:val="32"/>
          <w:lang w:val="en-US" w:eastAsia="zh-CN"/>
          <w14:textFill>
            <w14:solidFill>
              <w14:schemeClr w14:val="tx1"/>
            </w14:solidFill>
          </w14:textFill>
        </w:rPr>
        <w:t>商品交易市场升级改造。</w:t>
      </w:r>
      <w:r>
        <w:rPr>
          <w:rFonts w:hint="eastAsia" w:ascii="仿宋" w:hAnsi="仿宋" w:eastAsia="仿宋" w:cs="仿宋"/>
          <w:color w:val="000000" w:themeColor="text1"/>
          <w:sz w:val="32"/>
          <w:szCs w:val="32"/>
          <w14:textFill>
            <w14:solidFill>
              <w14:schemeClr w14:val="tx1"/>
            </w14:solidFill>
          </w14:textFill>
        </w:rPr>
        <w:t>推进具有固定经营场所集贸市场的改造建设步伐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加快音德尔镇中心农贸市场、轻工业品交易市场</w:t>
      </w:r>
      <w:r>
        <w:rPr>
          <w:rFonts w:hint="eastAsia" w:ascii="仿宋" w:hAnsi="仿宋" w:eastAsia="仿宋" w:cs="仿宋"/>
          <w:color w:val="000000" w:themeColor="text1"/>
          <w:sz w:val="32"/>
          <w:szCs w:val="32"/>
          <w:lang w:val="en-US" w:eastAsia="zh-CN"/>
          <w14:textFill>
            <w14:solidFill>
              <w14:schemeClr w14:val="tx1"/>
            </w14:solidFill>
          </w14:textFill>
        </w:rPr>
        <w:t>改造，扩建</w:t>
      </w:r>
      <w:r>
        <w:rPr>
          <w:rFonts w:hint="eastAsia" w:ascii="仿宋" w:hAnsi="仿宋" w:eastAsia="仿宋" w:cs="仿宋"/>
          <w:color w:val="000000" w:themeColor="text1"/>
          <w:sz w:val="32"/>
          <w:szCs w:val="32"/>
          <w14:textFill>
            <w14:solidFill>
              <w14:schemeClr w14:val="tx1"/>
            </w14:solidFill>
          </w14:textFill>
        </w:rPr>
        <w:t>巴彦扎拉嘎石头城子牲畜交易市场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w:t>
      </w:r>
      <w:r>
        <w:rPr>
          <w:rFonts w:hint="eastAsia" w:ascii="仿宋" w:hAnsi="仿宋" w:eastAsia="仿宋" w:cs="仿宋"/>
          <w:color w:val="000000" w:themeColor="text1"/>
          <w:sz w:val="32"/>
          <w:szCs w:val="32"/>
          <w14:textFill>
            <w14:solidFill>
              <w14:schemeClr w14:val="tx1"/>
            </w14:solidFill>
          </w14:textFill>
        </w:rPr>
        <w:t>新建音德尔镇3个农资市场</w:t>
      </w:r>
      <w:r>
        <w:rPr>
          <w:rFonts w:hint="eastAsia" w:ascii="仿宋" w:hAnsi="仿宋" w:eastAsia="仿宋" w:cs="仿宋"/>
          <w:color w:val="000000" w:themeColor="text1"/>
          <w:sz w:val="32"/>
          <w:szCs w:val="32"/>
          <w:lang w:eastAsia="zh-CN"/>
          <w14:textFill>
            <w14:solidFill>
              <w14:schemeClr w14:val="tx1"/>
            </w14:solidFill>
          </w14:textFill>
        </w:rPr>
        <w:t>。</w:t>
      </w:r>
    </w:p>
    <w:p w14:paraId="7B4A52BD">
      <w:pPr>
        <w:pageBreakBefore w:val="0"/>
        <w:kinsoku/>
        <w:wordWrap/>
        <w:overflowPunct/>
        <w:topLinePunct w:val="0"/>
        <w:bidi w:val="0"/>
        <w:snapToGrid/>
        <w:spacing w:line="600" w:lineRule="exact"/>
        <w:ind w:firstLine="64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四</w:t>
      </w:r>
      <w:r>
        <w:rPr>
          <w:rFonts w:hint="eastAsia" w:ascii="黑体" w:hAnsi="黑体" w:eastAsia="黑体" w:cs="黑体"/>
          <w:b w:val="0"/>
          <w:bCs/>
          <w:color w:val="000000" w:themeColor="text1"/>
          <w:sz w:val="32"/>
          <w:szCs w:val="32"/>
          <w14:textFill>
            <w14:solidFill>
              <w14:schemeClr w14:val="tx1"/>
            </w14:solidFill>
          </w14:textFill>
        </w:rPr>
        <w:t>、发展壮大农村电子商务</w:t>
      </w:r>
    </w:p>
    <w:p w14:paraId="3BD50BCF">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继续实施“互联网+”农产品出村进城工程，在农牧业生产、加工、流通等环节，加快互联网技术应用与推广，引导电商、物流、商贸、金融、供销、邮政、快递等各类电子商务主体到农村布局，构建农村购物网络平台。依托农家店、农村综合服务社、村邮站、快递网点、农产品购销代办站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展农村电商末端网点。创新营销模式，培育农商直供、直播直销、会员制、个人定制等模式，完善乡村信息网络基础设施，加快发展农产品冷链物流设施。建设农村电子商务公共服务中心，加强农村电子商务人才培养，营造良好市场环境。</w:t>
      </w:r>
    </w:p>
    <w:p w14:paraId="2BD27B0E">
      <w:pPr>
        <w:pStyle w:val="4"/>
        <w:pageBreakBefore w:val="0"/>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88" w:name="_Toc61280831"/>
      <w:bookmarkStart w:id="89" w:name="_Toc31460"/>
      <w:bookmarkStart w:id="90" w:name="_Toc4439"/>
      <w:bookmarkStart w:id="91" w:name="_Toc15250"/>
      <w:r>
        <w:rPr>
          <w:rFonts w:hint="eastAsia" w:ascii="仿宋" w:hAnsi="仿宋" w:eastAsia="仿宋" w:cs="仿宋"/>
          <w:color w:val="000000" w:themeColor="text1"/>
          <w14:textFill>
            <w14:solidFill>
              <w14:schemeClr w14:val="tx1"/>
            </w14:solidFill>
          </w14:textFill>
        </w:rPr>
        <w:t>第四节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打造独具魅力的生态旅游</w:t>
      </w:r>
      <w:bookmarkEnd w:id="88"/>
      <w:r>
        <w:rPr>
          <w:rFonts w:hint="eastAsia" w:ascii="仿宋" w:hAnsi="仿宋" w:eastAsia="仿宋" w:cs="仿宋"/>
          <w:color w:val="000000" w:themeColor="text1"/>
          <w14:textFill>
            <w14:solidFill>
              <w14:schemeClr w14:val="tx1"/>
            </w14:solidFill>
          </w14:textFill>
        </w:rPr>
        <w:t>目的地</w:t>
      </w:r>
      <w:bookmarkEnd w:id="89"/>
      <w:bookmarkEnd w:id="90"/>
      <w:bookmarkEnd w:id="91"/>
    </w:p>
    <w:p w14:paraId="4D76A7B9">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“十四五”期间，着力打造“农牧户+旅游”“产业+旅游”“非遗+旅游”“体育+旅游”“企业+旅游”等旅游发展模式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到</w:t>
      </w:r>
      <w:r>
        <w:rPr>
          <w:rFonts w:hint="eastAsia" w:ascii="仿宋" w:hAnsi="仿宋" w:eastAsia="仿宋" w:cs="仿宋"/>
          <w:color w:val="000000" w:themeColor="text1"/>
          <w:sz w:val="32"/>
          <w:szCs w:val="32"/>
          <w14:textFill>
            <w14:solidFill>
              <w14:schemeClr w14:val="tx1"/>
            </w14:solidFill>
          </w14:textFill>
        </w:rPr>
        <w:t>2025年</w:t>
      </w:r>
      <w:r>
        <w:rPr>
          <w:rFonts w:hint="eastAsia" w:ascii="仿宋" w:hAnsi="仿宋" w:eastAsia="仿宋" w:cs="仿宋"/>
          <w:color w:val="000000" w:themeColor="text1"/>
          <w:sz w:val="32"/>
          <w:szCs w:val="32"/>
          <w:lang w:val="en-US" w:eastAsia="zh-CN"/>
          <w14:textFill>
            <w14:solidFill>
              <w14:schemeClr w14:val="tx1"/>
            </w14:solidFill>
          </w14:textFill>
        </w:rPr>
        <w:t>末</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4A</w:t>
      </w:r>
      <w:r>
        <w:rPr>
          <w:rFonts w:hint="eastAsia" w:ascii="仿宋" w:hAnsi="仿宋" w:eastAsia="仿宋" w:cs="仿宋"/>
          <w:color w:val="000000" w:themeColor="text1"/>
          <w:sz w:val="32"/>
          <w:szCs w:val="32"/>
          <w14:textFill>
            <w14:solidFill>
              <w14:schemeClr w14:val="tx1"/>
            </w14:solidFill>
          </w14:textFill>
        </w:rPr>
        <w:t>景区达到3个，旅游接待人数400万人</w:t>
      </w:r>
      <w:r>
        <w:rPr>
          <w:rFonts w:hint="eastAsia" w:ascii="仿宋" w:hAnsi="仿宋" w:eastAsia="仿宋" w:cs="仿宋"/>
          <w:color w:val="000000" w:themeColor="text1"/>
          <w:sz w:val="32"/>
          <w:szCs w:val="32"/>
          <w:lang w:val="en-US" w:eastAsia="zh-CN"/>
          <w14:textFill>
            <w14:solidFill>
              <w14:schemeClr w14:val="tx1"/>
            </w14:solidFill>
          </w14:textFill>
        </w:rPr>
        <w:t>次</w:t>
      </w:r>
      <w:r>
        <w:rPr>
          <w:rFonts w:hint="eastAsia" w:ascii="仿宋" w:hAnsi="仿宋" w:eastAsia="仿宋" w:cs="仿宋"/>
          <w:color w:val="000000" w:themeColor="text1"/>
          <w:sz w:val="32"/>
          <w:szCs w:val="32"/>
          <w14:textFill>
            <w14:solidFill>
              <w14:schemeClr w14:val="tx1"/>
            </w14:solidFill>
          </w14:textFill>
        </w:rPr>
        <w:t>。</w:t>
      </w:r>
    </w:p>
    <w:p w14:paraId="432281F3">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一、优化文化旅游产业布局</w:t>
      </w:r>
    </w:p>
    <w:p w14:paraId="4AE374C0">
      <w:pPr>
        <w:pageBreakBefore w:val="0"/>
        <w:kinsoku/>
        <w:wordWrap/>
        <w:overflowPunct/>
        <w:topLinePunct w:val="0"/>
        <w:autoSpaceDE w:val="0"/>
        <w:autoSpaceDN w:val="0"/>
        <w:bidi w:val="0"/>
        <w:adjustRightInd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构建“一心一带三分区”全域旅游格局。</w:t>
      </w:r>
      <w:r>
        <w:rPr>
          <w:rFonts w:hint="eastAsia" w:ascii="仿宋" w:hAnsi="仿宋" w:eastAsia="仿宋" w:cs="仿宋"/>
          <w:color w:val="000000" w:themeColor="text1"/>
          <w:sz w:val="32"/>
          <w:szCs w:val="32"/>
          <w14:textFill>
            <w14:solidFill>
              <w14:schemeClr w14:val="tx1"/>
            </w14:solidFill>
          </w14:textFill>
        </w:rPr>
        <w:t>强化音德尔镇旅游综合服务中心作用，增强游客集散服务功能。以</w:t>
      </w:r>
      <w:r>
        <w:rPr>
          <w:rFonts w:hint="eastAsia" w:ascii="仿宋" w:hAnsi="仿宋" w:eastAsia="仿宋" w:cs="仿宋"/>
          <w:color w:val="000000" w:themeColor="text1"/>
          <w:sz w:val="32"/>
          <w:szCs w:val="32"/>
          <w:lang w:eastAsia="zh-CN"/>
          <w14:textFill>
            <w14:solidFill>
              <w14:schemeClr w14:val="tx1"/>
            </w14:solidFill>
          </w14:textFill>
        </w:rPr>
        <w:t>山水</w:t>
      </w:r>
      <w:r>
        <w:rPr>
          <w:rFonts w:hint="eastAsia" w:ascii="仿宋" w:hAnsi="仿宋" w:eastAsia="仿宋" w:cs="仿宋"/>
          <w:color w:val="000000" w:themeColor="text1"/>
          <w:sz w:val="32"/>
          <w:szCs w:val="32"/>
          <w14:textFill>
            <w14:solidFill>
              <w14:schemeClr w14:val="tx1"/>
            </w14:solidFill>
          </w14:textFill>
        </w:rPr>
        <w:t>观光为主题，不断充实丰富绰尔河风情旅游带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上游重点打造杨树沟风景区、文得根水库、达嘎图山旅游景区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生态体验旅游区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中游</w:t>
      </w:r>
      <w:r>
        <w:rPr>
          <w:rFonts w:hint="eastAsia" w:ascii="仿宋" w:hAnsi="仿宋" w:eastAsia="仿宋" w:cs="仿宋"/>
          <w:color w:val="000000" w:themeColor="text1"/>
          <w:sz w:val="32"/>
          <w:szCs w:val="32"/>
          <w:lang w:val="en-US" w:eastAsia="zh-CN"/>
          <w14:textFill>
            <w14:solidFill>
              <w14:schemeClr w14:val="tx1"/>
            </w14:solidFill>
          </w14:textFill>
        </w:rPr>
        <w:t>重点</w:t>
      </w:r>
      <w:r>
        <w:rPr>
          <w:rFonts w:hint="eastAsia" w:ascii="仿宋" w:hAnsi="仿宋" w:eastAsia="仿宋" w:cs="仿宋"/>
          <w:color w:val="000000" w:themeColor="text1"/>
          <w:sz w:val="32"/>
          <w:szCs w:val="32"/>
          <w14:textFill>
            <w14:solidFill>
              <w14:schemeClr w14:val="tx1"/>
            </w14:solidFill>
          </w14:textFill>
        </w:rPr>
        <w:t>培育绰勒湖生态度假区、乾德穆尼庙、王爷府、博格达乌拉赛马场、安达营等景区景点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康养度假区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下游</w:t>
      </w:r>
      <w:r>
        <w:rPr>
          <w:rFonts w:hint="eastAsia" w:ascii="仿宋" w:hAnsi="仿宋" w:eastAsia="仿宋" w:cs="仿宋"/>
          <w:color w:val="000000" w:themeColor="text1"/>
          <w:sz w:val="32"/>
          <w:szCs w:val="32"/>
          <w:lang w:val="en-US" w:eastAsia="zh-CN"/>
          <w14:textFill>
            <w14:solidFill>
              <w14:schemeClr w14:val="tx1"/>
            </w14:solidFill>
          </w14:textFill>
        </w:rPr>
        <w:t>重点打造</w:t>
      </w:r>
      <w:r>
        <w:rPr>
          <w:rFonts w:hint="eastAsia" w:ascii="仿宋" w:hAnsi="仿宋" w:eastAsia="仿宋" w:cs="仿宋"/>
          <w:color w:val="000000" w:themeColor="text1"/>
          <w:sz w:val="32"/>
          <w:szCs w:val="32"/>
          <w14:textFill>
            <w14:solidFill>
              <w14:schemeClr w14:val="tx1"/>
            </w14:solidFill>
          </w14:textFill>
        </w:rPr>
        <w:t>景观农业观光旅游项目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休闲农业旅游区。</w:t>
      </w:r>
    </w:p>
    <w:p w14:paraId="6325ECD0">
      <w:pPr>
        <w:pageBreakBefore w:val="0"/>
        <w:kinsoku/>
        <w:wordWrap/>
        <w:overflowPunct/>
        <w:topLinePunct w:val="0"/>
        <w:bidi w:val="0"/>
        <w:snapToGrid/>
        <w:spacing w:line="600" w:lineRule="exact"/>
        <w:ind w:firstLine="640"/>
        <w:textAlignment w:val="auto"/>
        <w:rPr>
          <w:rFonts w:hint="eastAsia" w:ascii="仿宋" w:hAnsi="仿宋" w:eastAsia="仿宋" w:cs="仿宋"/>
          <w:color w:val="000000" w:themeColor="text1"/>
          <w:spacing w:val="8"/>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加快特色景区建设步伐。</w:t>
      </w:r>
      <w:r>
        <w:rPr>
          <w:rFonts w:hint="eastAsia" w:ascii="仿宋" w:hAnsi="仿宋" w:eastAsia="仿宋" w:cs="仿宋"/>
          <w:color w:val="000000" w:themeColor="text1"/>
          <w:sz w:val="32"/>
          <w:szCs w:val="32"/>
          <w14:textFill>
            <w14:solidFill>
              <w14:schemeClr w14:val="tx1"/>
            </w14:solidFill>
          </w14:textFill>
        </w:rPr>
        <w:t>“十四五”期间，争创三家国家4A级旅游景区。</w:t>
      </w:r>
      <w:r>
        <w:rPr>
          <w:rFonts w:hint="eastAsia" w:ascii="仿宋" w:hAnsi="仿宋" w:eastAsia="仿宋" w:cs="仿宋"/>
          <w:b w:val="0"/>
          <w:bCs/>
          <w:color w:val="000000" w:themeColor="text1"/>
          <w:sz w:val="32"/>
          <w:szCs w:val="32"/>
          <w14:textFill>
            <w14:solidFill>
              <w14:schemeClr w14:val="tx1"/>
            </w14:solidFill>
          </w14:textFill>
        </w:rPr>
        <w:t>国家现代农业产业园打造</w:t>
      </w:r>
      <w:r>
        <w:rPr>
          <w:rFonts w:hint="eastAsia" w:ascii="仿宋" w:hAnsi="仿宋" w:eastAsia="仿宋" w:cs="仿宋"/>
          <w:color w:val="000000" w:themeColor="text1"/>
          <w:sz w:val="32"/>
          <w:szCs w:val="32"/>
          <w14:textFill>
            <w14:solidFill>
              <w14:schemeClr w14:val="tx1"/>
            </w14:solidFill>
          </w14:textFill>
        </w:rPr>
        <w:t>“智慧农业示范区”和“农旅休闲体验区”，高标准建设完善智慧大脑、智慧农场、30公里农体休闲观光带及稻田融合景观，形成千亩花海万亩稻浪格局，现代农业和乡村旅游融合发展水平显著提升。巴彦乌兰苏木“蒙欧风情”旅游特色小镇打造巴彦塔拉瀑布景观，推动更具商业推广价值、民俗文化价值的乡村旅游品牌。绰勒湖生态旅游景区打造观光游缆车、吊桥、索道、音乐喷泉、风格亭台、园林体验区、田园栈道、水上游乐园、水上漂流、草原民族风情项目</w:t>
      </w:r>
      <w:r>
        <w:rPr>
          <w:rFonts w:hint="eastAsia" w:ascii="仿宋" w:hAnsi="仿宋" w:eastAsia="仿宋" w:cs="仿宋"/>
          <w:b w:val="0"/>
          <w:bCs w:val="0"/>
          <w:color w:val="000000" w:themeColor="text1"/>
          <w:sz w:val="32"/>
          <w:szCs w:val="32"/>
          <w14:textFill>
            <w14:solidFill>
              <w14:schemeClr w14:val="tx1"/>
            </w14:solidFill>
          </w14:textFill>
        </w:rPr>
        <w:t>。深入农村牧区开展文化旅游活动</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举办扎赉特旗水稻插秧节</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杏花山旅游节、</w:t>
      </w:r>
      <w:r>
        <w:rPr>
          <w:rFonts w:hint="eastAsia" w:ascii="仿宋" w:hAnsi="仿宋" w:eastAsia="仿宋" w:cs="仿宋"/>
          <w:color w:val="000000" w:themeColor="text1"/>
          <w:sz w:val="32"/>
          <w:szCs w:val="32"/>
          <w14:textFill>
            <w14:solidFill>
              <w14:schemeClr w14:val="tx1"/>
            </w14:solidFill>
          </w14:textFill>
        </w:rPr>
        <w:t>农牧民丰收节、</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草原黑木耳旅游节等特色节庆活动，带动农旅休闲游。</w:t>
      </w:r>
    </w:p>
    <w:p w14:paraId="01CB3FC7">
      <w:pPr>
        <w:pStyle w:val="2"/>
        <w:pageBreakBefore w:val="0"/>
        <w:kinsoku/>
        <w:wordWrap/>
        <w:overflowPunct/>
        <w:topLinePunct w:val="0"/>
        <w:bidi w:val="0"/>
        <w:snapToGrid/>
        <w:spacing w:line="600" w:lineRule="exact"/>
        <w:textAlignment w:val="auto"/>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color w:val="000000" w:themeColor="text1"/>
          <w:spacing w:val="8"/>
          <w:sz w:val="32"/>
          <w:szCs w:val="32"/>
          <w:shd w:val="clear" w:color="auto" w:fill="FFFFFF"/>
          <w:lang w:eastAsia="zh-CN"/>
          <w14:textFill>
            <w14:solidFill>
              <w14:schemeClr w14:val="tx1"/>
            </w14:solidFill>
          </w14:textFill>
        </w:rPr>
        <w:t>　　</w:t>
      </w:r>
      <w:r>
        <w:rPr>
          <w:rFonts w:hint="eastAsia" w:ascii="仿宋" w:hAnsi="仿宋" w:eastAsia="仿宋" w:cs="仿宋"/>
          <w:b/>
          <w:bCs/>
          <w:color w:val="000000" w:themeColor="text1"/>
          <w:spacing w:val="8"/>
          <w:sz w:val="32"/>
          <w:szCs w:val="32"/>
          <w:shd w:val="clear" w:color="auto" w:fill="FFFFFF"/>
          <w:lang w:eastAsia="zh-CN"/>
          <w14:textFill>
            <w14:solidFill>
              <w14:schemeClr w14:val="tx1"/>
            </w14:solidFill>
          </w14:textFill>
        </w:rPr>
        <w:t>加强水利风景区规划建设。</w:t>
      </w:r>
      <w:r>
        <w:rPr>
          <w:rFonts w:hint="eastAsia" w:ascii="仿宋" w:hAnsi="仿宋" w:eastAsia="仿宋" w:cs="仿宋"/>
          <w:b w:val="0"/>
          <w:bCs w:val="0"/>
          <w:color w:val="000000" w:themeColor="text1"/>
          <w:spacing w:val="8"/>
          <w:sz w:val="32"/>
          <w:szCs w:val="32"/>
          <w:shd w:val="clear" w:color="auto" w:fill="FFFFFF"/>
          <w:lang w:val="en-US" w:eastAsia="zh-CN"/>
          <w14:textFill>
            <w14:solidFill>
              <w14:schemeClr w14:val="tx1"/>
            </w14:solidFill>
          </w14:textFill>
        </w:rPr>
        <w:t>做</w:t>
      </w:r>
      <w:r>
        <w:rPr>
          <w:rFonts w:hint="eastAsia" w:ascii="仿宋" w:hAnsi="仿宋" w:eastAsia="仿宋" w:cs="仿宋"/>
          <w:b w:val="0"/>
          <w:bCs w:val="0"/>
          <w:color w:val="000000" w:themeColor="text1"/>
          <w:spacing w:val="8"/>
          <w:sz w:val="32"/>
          <w:szCs w:val="32"/>
          <w:shd w:val="clear" w:color="auto" w:fill="FFFFFF"/>
          <w:lang w:eastAsia="zh-CN"/>
          <w14:textFill>
            <w14:solidFill>
              <w14:schemeClr w14:val="tx1"/>
            </w14:solidFill>
          </w14:textFill>
        </w:rPr>
        <w:t>好音德尔镇阿敏河、绰尔河流域、绰尔托欣河国家湿地公园、绰勒水库、神山水库、图牧吉自然保护区、绰勒水库下游灌区</w:t>
      </w:r>
      <w:r>
        <w:rPr>
          <w:rFonts w:hint="eastAsia" w:ascii="仿宋" w:hAnsi="仿宋" w:eastAsia="仿宋" w:cs="仿宋"/>
          <w:b w:val="0"/>
          <w:bCs w:val="0"/>
          <w:color w:val="000000" w:themeColor="text1"/>
          <w:spacing w:val="8"/>
          <w:sz w:val="32"/>
          <w:szCs w:val="32"/>
          <w:shd w:val="clear" w:color="auto" w:fill="FFFFFF"/>
          <w:lang w:val="en-US" w:eastAsia="zh-CN"/>
          <w14:textFill>
            <w14:solidFill>
              <w14:schemeClr w14:val="tx1"/>
            </w14:solidFill>
          </w14:textFill>
        </w:rPr>
        <w:t>7个水利风景区规划，打造自然、田园、水域风光。</w:t>
      </w:r>
    </w:p>
    <w:p w14:paraId="6F7E8A9C">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二、丰富文化旅游产品供给</w:t>
      </w:r>
    </w:p>
    <w:p w14:paraId="24AC3864">
      <w:pPr>
        <w:pageBreakBefore w:val="0"/>
        <w:kinsoku/>
        <w:wordWrap/>
        <w:overflowPunct/>
        <w:topLinePunct w:val="0"/>
        <w:bidi w:val="0"/>
        <w:snapToGrid/>
        <w:spacing w:line="600" w:lineRule="exact"/>
        <w:ind w:firstLine="32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推动文旅多元融合发展。</w:t>
      </w:r>
      <w:r>
        <w:rPr>
          <w:rFonts w:hint="eastAsia" w:ascii="仿宋" w:hAnsi="仿宋" w:eastAsia="仿宋" w:cs="仿宋"/>
          <w:color w:val="000000" w:themeColor="text1"/>
          <w:sz w:val="32"/>
          <w:szCs w:val="32"/>
          <w14:textFill>
            <w14:solidFill>
              <w14:schemeClr w14:val="tx1"/>
            </w14:solidFill>
          </w14:textFill>
        </w:rPr>
        <w:t>促进文旅与农牧业融合，发挥国家现代农业科技园旅游区示范带动作用，构建农业旅游集群，打造农业旅游的“扎赉特旗样板”。促进文旅与教育融合，打造民俗研学、草原研学等系列主题研学旅游产品。促进文旅与体育融合，围绕漂流、射箭、骑马等传统运动项目和冰雪运动、汽车旅游等时尚运动项目，构建体育旅游产品体系。</w:t>
      </w:r>
    </w:p>
    <w:p w14:paraId="7DC13480">
      <w:pPr>
        <w:pageBreakBefore w:val="0"/>
        <w:kinsoku/>
        <w:wordWrap/>
        <w:overflowPunct/>
        <w:topLinePunct w:val="0"/>
        <w:bidi w:val="0"/>
        <w:snapToGrid/>
        <w:spacing w:line="600" w:lineRule="exact"/>
        <w:ind w:firstLine="32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bCs/>
          <w:color w:val="000000" w:themeColor="text1"/>
          <w:sz w:val="34"/>
          <w:szCs w:val="34"/>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开发文旅创意产品</w:t>
      </w: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保护和开发神山祭祀文化、好力保镇农耕文化、音德尔镇红色文化、木华黎部落文化、努文牧仁</w:t>
      </w:r>
      <w:r>
        <w:rPr>
          <w:rFonts w:hint="eastAsia" w:ascii="仿宋" w:hAnsi="仿宋" w:eastAsia="仿宋" w:cs="仿宋"/>
          <w:color w:val="000000" w:themeColor="text1"/>
          <w:sz w:val="32"/>
          <w:szCs w:val="32"/>
          <w:lang w:val="en-US" w:eastAsia="zh-CN"/>
          <w14:textFill>
            <w14:solidFill>
              <w14:schemeClr w14:val="tx1"/>
            </w14:solidFill>
          </w14:textFill>
        </w:rPr>
        <w:t>乡</w:t>
      </w:r>
      <w:r>
        <w:rPr>
          <w:rFonts w:hint="eastAsia" w:ascii="仿宋" w:hAnsi="仿宋" w:eastAsia="仿宋" w:cs="仿宋"/>
          <w:color w:val="000000" w:themeColor="text1"/>
          <w:sz w:val="32"/>
          <w:szCs w:val="32"/>
          <w14:textFill>
            <w14:solidFill>
              <w14:schemeClr w14:val="tx1"/>
            </w14:solidFill>
          </w14:textFill>
        </w:rPr>
        <w:t>渔猎文化等特色文化资源，</w:t>
      </w:r>
      <w:r>
        <w:rPr>
          <w:rFonts w:hint="eastAsia" w:ascii="仿宋" w:hAnsi="仿宋" w:eastAsia="仿宋" w:cs="仿宋"/>
          <w:color w:val="000000" w:themeColor="text1"/>
          <w:sz w:val="32"/>
          <w:szCs w:val="32"/>
          <w:lang w:eastAsia="zh-CN"/>
          <w14:textFill>
            <w14:solidFill>
              <w14:schemeClr w14:val="tx1"/>
            </w14:solidFill>
          </w14:textFill>
        </w:rPr>
        <w:t>打造</w:t>
      </w:r>
      <w:r>
        <w:rPr>
          <w:rFonts w:hint="eastAsia" w:ascii="仿宋" w:hAnsi="仿宋" w:eastAsia="仿宋" w:cs="仿宋"/>
          <w:color w:val="000000" w:themeColor="text1"/>
          <w:sz w:val="32"/>
          <w:szCs w:val="32"/>
          <w14:textFill>
            <w14:solidFill>
              <w14:schemeClr w14:val="tx1"/>
            </w14:solidFill>
          </w14:textFill>
        </w:rPr>
        <w:t>特色鲜明的扎赉特旗旅游产品。推进精品旅游项目实施，重点打造安</w:t>
      </w:r>
      <w:r>
        <w:rPr>
          <w:rFonts w:hint="eastAsia" w:ascii="仿宋" w:hAnsi="仿宋" w:eastAsia="仿宋" w:cs="仿宋"/>
          <w:color w:val="000000" w:themeColor="text1"/>
          <w:sz w:val="32"/>
          <w:szCs w:val="32"/>
          <w:lang w:val="en-US" w:eastAsia="zh-CN"/>
          <w14:textFill>
            <w14:solidFill>
              <w14:schemeClr w14:val="tx1"/>
            </w14:solidFill>
          </w14:textFill>
        </w:rPr>
        <w:t>达</w:t>
      </w:r>
      <w:r>
        <w:rPr>
          <w:rFonts w:hint="eastAsia" w:ascii="仿宋" w:hAnsi="仿宋" w:eastAsia="仿宋" w:cs="仿宋"/>
          <w:color w:val="000000" w:themeColor="text1"/>
          <w:sz w:val="32"/>
          <w:szCs w:val="32"/>
          <w14:textFill>
            <w14:solidFill>
              <w14:schemeClr w14:val="tx1"/>
            </w14:solidFill>
          </w14:textFill>
        </w:rPr>
        <w:t>蒙古大营蒙元文化博物馆、绰尔河农耕博物馆，促进历史遗迹和非物质文化遗产转化形成旅游资源。筹办扎赉特旗旅游文创产品博览会，传承弘扬旗域饮食文化和手工技艺，开发一批特色旅游品牌商品。继续打造绰尔河文化艺术节、神山那达慕等旅游文化节庆品牌，结合神山祭祀、诃额仑母后祭祀、农民丰收节推出文化旅游项目，丰富全域旅游的历史文化、民俗文化内涵。</w:t>
      </w:r>
    </w:p>
    <w:p w14:paraId="441F0FC4">
      <w:pPr>
        <w:pStyle w:val="5"/>
        <w:pageBreakBefore w:val="0"/>
        <w:kinsoku/>
        <w:wordWrap/>
        <w:overflowPunct/>
        <w:topLinePunct w:val="0"/>
        <w:bidi w:val="0"/>
        <w:snapToGrid/>
        <w:spacing w:line="600" w:lineRule="exact"/>
        <w:ind w:firstLine="640" w:firstLineChars="0"/>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三、完善文化旅游配套服务</w:t>
      </w:r>
    </w:p>
    <w:p w14:paraId="0E8FB9CF">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完善旅游配套服务设施。</w:t>
      </w:r>
      <w:r>
        <w:rPr>
          <w:rFonts w:hint="eastAsia" w:ascii="仿宋" w:hAnsi="仿宋" w:eastAsia="仿宋" w:cs="仿宋"/>
          <w:color w:val="000000" w:themeColor="text1"/>
          <w:sz w:val="32"/>
          <w:szCs w:val="32"/>
          <w14:textFill>
            <w14:solidFill>
              <w14:schemeClr w14:val="tx1"/>
            </w14:solidFill>
          </w14:textFill>
        </w:rPr>
        <w:t>加强历史建筑、景区景点等文化标识标注，突出全域旅游文化内涵。健全旅游交通集散体系，建设自驾车、旅居车营地和生态停车场系统，完善道路交通引导标识系统，在重要交通节点增设游客导引指示牌、智能显示屏，建设分布合理、管理规范的旅游厕所体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乌阿海满旅游圈主要景区方位和大城市来客方向，优化设计扎赉特旗过境旅游路线，合理排布餐饮住宿站点，吸引过境游客驻留。将杨树沟、吉日根、神山、中心、小城子林场闲置用房改建为林区特色民宿，在景观农业区增建休闲长廊、景观步道。</w:t>
      </w:r>
    </w:p>
    <w:p w14:paraId="739FD1B2">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提升旅游服务水平</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深入推进旅游服务标准化建设，加强文化旅游市场属地管理，健全综合监管机制，提升旅游住宿、餐饮、旅行社、交通等服务水平。</w:t>
      </w:r>
    </w:p>
    <w:p w14:paraId="61C48FCB">
      <w:pPr>
        <w:pStyle w:val="2"/>
        <w:rPr>
          <w:rFonts w:hint="eastAsia" w:ascii="仿宋" w:hAnsi="仿宋" w:eastAsia="仿宋" w:cs="仿宋"/>
          <w:color w:val="000000" w:themeColor="text1"/>
          <w:sz w:val="32"/>
          <w:szCs w:val="32"/>
          <w14:textFill>
            <w14:solidFill>
              <w14:schemeClr w14:val="tx1"/>
            </w14:solidFill>
          </w14:textFill>
        </w:rPr>
      </w:pPr>
    </w:p>
    <w:p w14:paraId="65B4BB90">
      <w:pPr>
        <w:pStyle w:val="2"/>
        <w:rPr>
          <w:rFonts w:hint="eastAsia" w:ascii="仿宋" w:hAnsi="仿宋" w:eastAsia="仿宋" w:cs="仿宋"/>
          <w:color w:val="000000" w:themeColor="text1"/>
          <w:sz w:val="32"/>
          <w:szCs w:val="32"/>
          <w14:textFill>
            <w14:solidFill>
              <w14:schemeClr w14:val="tx1"/>
            </w14:solidFill>
          </w14:textFill>
        </w:rPr>
      </w:pPr>
    </w:p>
    <w:p w14:paraId="1A4C2312">
      <w:pPr>
        <w:pStyle w:val="2"/>
        <w:rPr>
          <w:rFonts w:hint="eastAsia" w:ascii="仿宋" w:hAnsi="仿宋" w:eastAsia="仿宋" w:cs="仿宋"/>
          <w:color w:val="000000" w:themeColor="text1"/>
          <w:sz w:val="32"/>
          <w:szCs w:val="32"/>
          <w14:textFill>
            <w14:solidFill>
              <w14:schemeClr w14:val="tx1"/>
            </w14:solidFill>
          </w14:textFill>
        </w:rPr>
      </w:pPr>
    </w:p>
    <w:p w14:paraId="264EE40F">
      <w:pPr>
        <w:pStyle w:val="2"/>
        <w:rPr>
          <w:rFonts w:hint="eastAsia" w:ascii="仿宋" w:hAnsi="仿宋" w:eastAsia="仿宋" w:cs="仿宋"/>
          <w:color w:val="000000" w:themeColor="text1"/>
          <w14:textFill>
            <w14:solidFill>
              <w14:schemeClr w14:val="tx1"/>
            </w14:solidFill>
          </w14:textFill>
        </w:rPr>
      </w:pPr>
      <w:bookmarkStart w:id="92" w:name="_Toc16255"/>
      <w:bookmarkStart w:id="93" w:name="_Toc61280832"/>
    </w:p>
    <w:p w14:paraId="7EB9E077">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94" w:name="_Toc1801"/>
      <w:bookmarkStart w:id="95" w:name="_Toc26429"/>
      <w:bookmarkStart w:id="96" w:name="_Toc21701"/>
      <w:r>
        <w:rPr>
          <w:rFonts w:hint="eastAsia" w:ascii="仿宋" w:hAnsi="仿宋" w:eastAsia="仿宋" w:cs="仿宋"/>
          <w:color w:val="000000" w:themeColor="text1"/>
          <w14:textFill>
            <w14:solidFill>
              <w14:schemeClr w14:val="tx1"/>
            </w14:solidFill>
          </w14:textFill>
        </w:rPr>
        <w:t>第五节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提升产业发展平台</w:t>
      </w:r>
      <w:bookmarkEnd w:id="92"/>
      <w:bookmarkEnd w:id="94"/>
      <w:bookmarkEnd w:id="95"/>
      <w:bookmarkEnd w:id="96"/>
    </w:p>
    <w:bookmarkEnd w:id="93"/>
    <w:p w14:paraId="680F2C6F">
      <w:pPr>
        <w:pStyle w:val="5"/>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themeColor="text1"/>
          <w14:textFill>
            <w14:solidFill>
              <w14:schemeClr w14:val="tx1"/>
            </w14:solidFill>
          </w14:textFill>
        </w:rPr>
      </w:pPr>
      <w:bookmarkStart w:id="97" w:name="_Toc61280833"/>
      <w:r>
        <w:rPr>
          <w:rFonts w:hint="eastAsia" w:ascii="黑体" w:hAnsi="黑体" w:eastAsia="黑体" w:cs="黑体"/>
          <w:b w:val="0"/>
          <w:bCs w:val="0"/>
          <w:color w:val="000000" w:themeColor="text1"/>
          <w14:textFill>
            <w14:solidFill>
              <w14:schemeClr w14:val="tx1"/>
            </w14:solidFill>
          </w14:textFill>
        </w:rPr>
        <w:t>一、加快国家现代农业产业园建设</w:t>
      </w:r>
      <w:bookmarkEnd w:id="97"/>
    </w:p>
    <w:p w14:paraId="687FF14F">
      <w:pPr>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全面升级智慧农业建设水平，完善农业智慧系统平台建设，打造数字农业综合管理服务平台、农业生产智能信息服务平台、旱稻栽培管理数字化云服务平台、稻米加工运输数字化平台，提升平台数据收集和智能管控能力。建立东北粳稻大数据仓，推进水稻管理信息化与农艺交叉融合，建立水稻品种信息数据库和水稻生长模型，丰富土壤养分地图信息，提升产业园分析决策和服务能力，打造全国智慧农业</w:t>
      </w:r>
      <w:r>
        <w:rPr>
          <w:rFonts w:hint="eastAsia" w:ascii="仿宋" w:hAnsi="仿宋" w:eastAsia="仿宋" w:cs="仿宋"/>
          <w:color w:val="000000" w:themeColor="text1"/>
          <w:sz w:val="32"/>
          <w:szCs w:val="32"/>
          <w:lang w:val="en-US" w:eastAsia="zh-CN"/>
          <w14:textFill>
            <w14:solidFill>
              <w14:schemeClr w14:val="tx1"/>
            </w14:solidFill>
          </w14:textFill>
        </w:rPr>
        <w:t>示范</w:t>
      </w:r>
      <w:r>
        <w:rPr>
          <w:rFonts w:hint="eastAsia" w:ascii="仿宋" w:hAnsi="仿宋" w:eastAsia="仿宋" w:cs="仿宋"/>
          <w:color w:val="000000" w:themeColor="text1"/>
          <w:sz w:val="32"/>
          <w:szCs w:val="32"/>
          <w14:textFill>
            <w14:solidFill>
              <w14:schemeClr w14:val="tx1"/>
            </w14:solidFill>
          </w14:textFill>
        </w:rPr>
        <w:t>区。</w:t>
      </w:r>
    </w:p>
    <w:p w14:paraId="39F54310">
      <w:pPr>
        <w:pStyle w:val="5"/>
        <w:pageBreakBefore w:val="0"/>
        <w:kinsoku/>
        <w:wordWrap/>
        <w:overflowPunct/>
        <w:topLinePunct w:val="0"/>
        <w:autoSpaceDE/>
        <w:autoSpaceDN/>
        <w:bidi w:val="0"/>
        <w:adjustRightInd/>
        <w:snapToGrid/>
        <w:spacing w:line="600" w:lineRule="exact"/>
        <w:ind w:firstLine="640" w:firstLineChars="0"/>
        <w:textAlignment w:val="auto"/>
        <w:rPr>
          <w:rFonts w:hint="eastAsia" w:ascii="黑体" w:hAnsi="黑体" w:eastAsia="黑体" w:cs="黑体"/>
          <w:b w:val="0"/>
          <w:bCs w:val="0"/>
          <w:color w:val="000000" w:themeColor="text1"/>
          <w14:textFill>
            <w14:solidFill>
              <w14:schemeClr w14:val="tx1"/>
            </w14:solidFill>
          </w14:textFill>
        </w:rPr>
      </w:pPr>
      <w:bookmarkStart w:id="98" w:name="_Toc61280834"/>
      <w:r>
        <w:rPr>
          <w:rFonts w:hint="eastAsia" w:ascii="黑体" w:hAnsi="黑体" w:eastAsia="黑体" w:cs="黑体"/>
          <w:b w:val="0"/>
          <w:bCs w:val="0"/>
          <w:color w:val="000000" w:themeColor="text1"/>
          <w14:textFill>
            <w14:solidFill>
              <w14:schemeClr w14:val="tx1"/>
            </w14:solidFill>
          </w14:textFill>
        </w:rPr>
        <w:t>二、促进工业园区提档升级</w:t>
      </w:r>
      <w:bookmarkEnd w:id="98"/>
    </w:p>
    <w:p w14:paraId="43CCACDB">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加强工业园区基础设施建设。</w:t>
      </w:r>
      <w:r>
        <w:rPr>
          <w:rFonts w:hint="eastAsia" w:ascii="仿宋" w:hAnsi="仿宋" w:eastAsia="仿宋" w:cs="仿宋"/>
          <w:color w:val="000000" w:themeColor="text1"/>
          <w:sz w:val="32"/>
          <w:szCs w:val="32"/>
          <w14:textFill>
            <w14:solidFill>
              <w14:schemeClr w14:val="tx1"/>
            </w14:solidFill>
          </w14:textFill>
        </w:rPr>
        <w:t>坚持规划引领，高起点修编总体规划和产业发展规划，优化园区空间布局，形成</w:t>
      </w:r>
      <w:r>
        <w:rPr>
          <w:rFonts w:hint="eastAsia" w:ascii="仿宋" w:hAnsi="仿宋" w:eastAsia="仿宋" w:cs="仿宋"/>
          <w:color w:val="000000" w:themeColor="text1"/>
          <w:sz w:val="32"/>
          <w:szCs w:val="32"/>
          <w:lang w:val="en-US" w:eastAsia="zh-CN"/>
          <w14:textFill>
            <w14:solidFill>
              <w14:schemeClr w14:val="tx1"/>
            </w14:solidFill>
          </w14:textFill>
        </w:rPr>
        <w:t>以</w:t>
      </w:r>
      <w:r>
        <w:rPr>
          <w:rFonts w:hint="eastAsia" w:ascii="仿宋" w:hAnsi="仿宋" w:eastAsia="仿宋" w:cs="仿宋"/>
          <w:color w:val="000000" w:themeColor="text1"/>
          <w:sz w:val="32"/>
          <w:szCs w:val="32"/>
          <w14:textFill>
            <w14:solidFill>
              <w14:schemeClr w14:val="tx1"/>
            </w14:solidFill>
          </w14:textFill>
        </w:rPr>
        <w:t>绰尔工业园区为核心区，物流园区、蒙羊牧业、龙鼎农业</w:t>
      </w:r>
      <w:r>
        <w:rPr>
          <w:rFonts w:hint="eastAsia" w:ascii="仿宋" w:hAnsi="仿宋" w:eastAsia="仿宋" w:cs="仿宋"/>
          <w:color w:val="000000" w:themeColor="text1"/>
          <w:kern w:val="0"/>
          <w:sz w:val="32"/>
          <w:szCs w:val="32"/>
          <w14:textFill>
            <w14:solidFill>
              <w14:schemeClr w14:val="tx1"/>
            </w14:solidFill>
          </w14:textFill>
        </w:rPr>
        <w:t>集团为支撑的园区发展格局。继续推进园区基础设施建设，加快园区四路、园区五路、绰尔一路、园区辅路等7公里道路建设，完善园区路网框架，推进园区供热管网建设，解决企业清洁供热问题。</w:t>
      </w:r>
    </w:p>
    <w:p w14:paraId="747A7D7B">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14:textFill>
            <w14:solidFill>
              <w14:schemeClr w14:val="tx1"/>
            </w14:solidFill>
          </w14:textFill>
        </w:rPr>
        <w:t>提升工业园区服务企业能力。</w:t>
      </w:r>
      <w:r>
        <w:rPr>
          <w:rFonts w:hint="eastAsia" w:ascii="仿宋" w:hAnsi="仿宋" w:eastAsia="仿宋" w:cs="仿宋"/>
          <w:color w:val="000000" w:themeColor="text1"/>
          <w:kern w:val="0"/>
          <w:sz w:val="32"/>
          <w:szCs w:val="32"/>
          <w14:textFill>
            <w14:solidFill>
              <w14:schemeClr w14:val="tx1"/>
            </w14:solidFill>
          </w14:textFill>
        </w:rPr>
        <w:t>创新园区管理模式，搭建园区“一站式”服务（审批）平台，推进服务（审批）企业不出园区，完成园区智慧化建设，增强园区服务能力，改善营商环境。创建小微企业培育成长机制和平台，促进全旗小微企业入园发展，实现集中服务、集聚发展、集中产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加快盘活工业园区停产、半停产企业，提高园区土地、企业资产利用效率。</w:t>
      </w:r>
    </w:p>
    <w:p w14:paraId="1FCC4DA3">
      <w:pPr>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三、打造区级特色产业园区</w:t>
      </w:r>
    </w:p>
    <w:p w14:paraId="68805375">
      <w:pPr>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lang w:val="en-US" w:eastAsia="zh-CN"/>
          <w14:textFill>
            <w14:solidFill>
              <w14:schemeClr w14:val="tx1"/>
            </w14:solidFill>
          </w14:textFill>
        </w:rPr>
        <w:t>打造</w:t>
      </w:r>
      <w:r>
        <w:rPr>
          <w:rFonts w:hint="eastAsia" w:ascii="仿宋" w:hAnsi="仿宋" w:eastAsia="仿宋" w:cs="仿宋"/>
          <w:b/>
          <w:bCs/>
          <w:color w:val="000000" w:themeColor="text1"/>
          <w:sz w:val="32"/>
          <w:szCs w:val="32"/>
          <w14:textFill>
            <w14:solidFill>
              <w14:schemeClr w14:val="tx1"/>
            </w14:solidFill>
          </w14:textFill>
        </w:rPr>
        <w:t>自治区级中草药产业园。</w:t>
      </w:r>
      <w:r>
        <w:rPr>
          <w:rFonts w:hint="eastAsia" w:ascii="仿宋" w:hAnsi="仿宋" w:eastAsia="仿宋" w:cs="仿宋"/>
          <w:color w:val="000000" w:themeColor="text1"/>
          <w:sz w:val="32"/>
          <w:szCs w:val="32"/>
          <w14:textFill>
            <w14:solidFill>
              <w14:schemeClr w14:val="tx1"/>
            </w14:solidFill>
          </w14:textFill>
        </w:rPr>
        <w:t>以新林镇为主，辐射带动音德尔、阿尔本格勒、巴达尔胡、巴彦乌兰、巴彦扎拉嘎等乡镇苏木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发展中草药种植面积20万亩。</w:t>
      </w:r>
      <w:r>
        <w:rPr>
          <w:rFonts w:hint="eastAsia" w:ascii="仿宋" w:hAnsi="仿宋" w:eastAsia="仿宋" w:cs="仿宋"/>
          <w:color w:val="000000" w:themeColor="text1"/>
          <w:sz w:val="32"/>
          <w:szCs w:val="32"/>
          <w:lang w:val="en-US" w:eastAsia="zh-CN"/>
          <w14:textFill>
            <w14:solidFill>
              <w14:schemeClr w14:val="tx1"/>
            </w14:solidFill>
          </w14:textFill>
        </w:rPr>
        <w:t>重点构建道地药材</w:t>
      </w:r>
      <w:r>
        <w:rPr>
          <w:rFonts w:hint="eastAsia" w:ascii="仿宋" w:hAnsi="仿宋" w:eastAsia="仿宋" w:cs="仿宋"/>
          <w:color w:val="000000" w:themeColor="text1"/>
          <w:sz w:val="32"/>
          <w:szCs w:val="32"/>
          <w14:textFill>
            <w14:solidFill>
              <w14:schemeClr w14:val="tx1"/>
            </w14:solidFill>
          </w14:textFill>
        </w:rPr>
        <w:t>生产、加工、收储、销售于一体的全产业链，</w:t>
      </w:r>
      <w:r>
        <w:rPr>
          <w:rFonts w:hint="eastAsia" w:ascii="仿宋" w:hAnsi="仿宋" w:eastAsia="仿宋" w:cs="仿宋"/>
          <w:color w:val="000000" w:themeColor="text1"/>
          <w:sz w:val="32"/>
          <w:szCs w:val="32"/>
          <w:lang w:val="en-US" w:eastAsia="zh-CN"/>
          <w14:textFill>
            <w14:solidFill>
              <w14:schemeClr w14:val="tx1"/>
            </w14:solidFill>
          </w14:textFill>
        </w:rPr>
        <w:t>发挥龙头</w:t>
      </w:r>
      <w:r>
        <w:rPr>
          <w:rFonts w:hint="eastAsia" w:ascii="仿宋" w:hAnsi="仿宋" w:eastAsia="仿宋" w:cs="仿宋"/>
          <w:color w:val="000000" w:themeColor="text1"/>
          <w:sz w:val="32"/>
          <w:szCs w:val="32"/>
          <w14:textFill>
            <w14:solidFill>
              <w14:schemeClr w14:val="tx1"/>
            </w14:solidFill>
          </w14:textFill>
        </w:rPr>
        <w:t>企业带动</w:t>
      </w:r>
      <w:r>
        <w:rPr>
          <w:rFonts w:hint="eastAsia" w:ascii="仿宋" w:hAnsi="仿宋" w:eastAsia="仿宋" w:cs="仿宋"/>
          <w:color w:val="000000" w:themeColor="text1"/>
          <w:sz w:val="32"/>
          <w:szCs w:val="32"/>
          <w:lang w:val="en-US" w:eastAsia="zh-CN"/>
          <w14:textFill>
            <w14:solidFill>
              <w14:schemeClr w14:val="tx1"/>
            </w14:solidFill>
          </w14:textFill>
        </w:rPr>
        <w:t>作用</w:t>
      </w:r>
      <w:r>
        <w:rPr>
          <w:rFonts w:hint="eastAsia" w:ascii="仿宋" w:hAnsi="仿宋" w:eastAsia="仿宋" w:cs="仿宋"/>
          <w:color w:val="000000" w:themeColor="text1"/>
          <w:sz w:val="32"/>
          <w:szCs w:val="32"/>
          <w14:textFill>
            <w14:solidFill>
              <w14:schemeClr w14:val="tx1"/>
            </w14:solidFill>
          </w14:textFill>
        </w:rPr>
        <w:t>，鼓励家庭农牧场等新型经营主体入园创业创新，</w:t>
      </w:r>
      <w:r>
        <w:rPr>
          <w:rFonts w:hint="eastAsia" w:ascii="仿宋" w:hAnsi="仿宋" w:eastAsia="仿宋" w:cs="仿宋"/>
          <w:color w:val="000000" w:themeColor="text1"/>
          <w:sz w:val="32"/>
          <w:szCs w:val="32"/>
          <w:lang w:val="en-US" w:eastAsia="zh-CN"/>
          <w14:textFill>
            <w14:solidFill>
              <w14:schemeClr w14:val="tx1"/>
            </w14:solidFill>
          </w14:textFill>
        </w:rPr>
        <w:t>提高</w:t>
      </w:r>
      <w:r>
        <w:rPr>
          <w:rFonts w:hint="eastAsia" w:ascii="仿宋" w:hAnsi="仿宋" w:eastAsia="仿宋" w:cs="仿宋"/>
          <w:color w:val="000000" w:themeColor="text1"/>
          <w:sz w:val="32"/>
          <w:szCs w:val="32"/>
          <w14:textFill>
            <w14:solidFill>
              <w14:schemeClr w14:val="tx1"/>
            </w14:solidFill>
          </w14:textFill>
        </w:rPr>
        <w:t>经营规模。到2025年，园区研发中心、交易中心、康养旅游中心等功能初步形成，基本建成一个</w:t>
      </w:r>
      <w:r>
        <w:rPr>
          <w:rFonts w:hint="eastAsia" w:ascii="仿宋" w:hAnsi="仿宋" w:eastAsia="仿宋" w:cs="仿宋"/>
          <w:color w:val="000000" w:themeColor="text1"/>
          <w:sz w:val="32"/>
          <w:szCs w:val="32"/>
          <w:lang w:val="en-US" w:eastAsia="zh-CN"/>
          <w14:textFill>
            <w14:solidFill>
              <w14:schemeClr w14:val="tx1"/>
            </w14:solidFill>
          </w14:textFill>
        </w:rPr>
        <w:t>蒙中医文化</w:t>
      </w:r>
      <w:r>
        <w:rPr>
          <w:rFonts w:hint="eastAsia" w:ascii="仿宋" w:hAnsi="仿宋" w:eastAsia="仿宋" w:cs="仿宋"/>
          <w:color w:val="000000" w:themeColor="text1"/>
          <w:sz w:val="32"/>
          <w:szCs w:val="32"/>
          <w14:textFill>
            <w14:solidFill>
              <w14:schemeClr w14:val="tx1"/>
            </w14:solidFill>
          </w14:textFill>
        </w:rPr>
        <w:t>特色鲜明、布局合理、环境优美、运作高效的现代化</w:t>
      </w:r>
      <w:r>
        <w:rPr>
          <w:rFonts w:hint="eastAsia" w:ascii="仿宋" w:hAnsi="仿宋" w:eastAsia="仿宋" w:cs="仿宋"/>
          <w:color w:val="000000" w:themeColor="text1"/>
          <w:sz w:val="32"/>
          <w:szCs w:val="32"/>
          <w:lang w:val="en-US" w:eastAsia="zh-CN"/>
          <w14:textFill>
            <w14:solidFill>
              <w14:schemeClr w14:val="tx1"/>
            </w14:solidFill>
          </w14:textFill>
        </w:rPr>
        <w:t>道地药材</w:t>
      </w:r>
      <w:r>
        <w:rPr>
          <w:rFonts w:hint="eastAsia" w:ascii="仿宋" w:hAnsi="仿宋" w:eastAsia="仿宋" w:cs="仿宋"/>
          <w:color w:val="000000" w:themeColor="text1"/>
          <w:sz w:val="32"/>
          <w:szCs w:val="32"/>
          <w14:textFill>
            <w14:solidFill>
              <w14:schemeClr w14:val="tx1"/>
            </w14:solidFill>
          </w14:textFill>
        </w:rPr>
        <w:t>产业园区。</w:t>
      </w:r>
    </w:p>
    <w:p w14:paraId="200AD9F4">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打造</w:t>
      </w:r>
      <w:r>
        <w:rPr>
          <w:rFonts w:hint="eastAsia" w:ascii="仿宋" w:hAnsi="仿宋" w:eastAsia="仿宋" w:cs="仿宋"/>
          <w:b/>
          <w:bCs/>
          <w:color w:val="000000" w:themeColor="text1"/>
          <w:sz w:val="32"/>
          <w:szCs w:val="32"/>
          <w14:textFill>
            <w14:solidFill>
              <w14:schemeClr w14:val="tx1"/>
            </w14:solidFill>
          </w14:textFill>
        </w:rPr>
        <w:t>自治区级多羔羊产业园。</w:t>
      </w:r>
      <w:r>
        <w:rPr>
          <w:rFonts w:hint="eastAsia" w:ascii="仿宋" w:hAnsi="仿宋" w:eastAsia="仿宋" w:cs="仿宋"/>
          <w:color w:val="000000" w:themeColor="text1"/>
          <w:sz w:val="32"/>
          <w:szCs w:val="32"/>
          <w14:textFill>
            <w14:solidFill>
              <w14:schemeClr w14:val="tx1"/>
            </w14:solidFill>
          </w14:textFill>
        </w:rPr>
        <w:t>以巴彦高勒镇为中心，辐射宝力根花苏木、音德尔镇 、图牧吉镇、胡尔勒镇四个乡镇苏木，建设多羔羊产业园，发展多羔羊100万只。到2025年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建设种畜扩繁场10个，肉羊育肥场20个，年育肥20万只以上，发展多羔羊专业村20个，建设肉羊交易市场1个，年交易肉羊</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万只，建设肉羊屠宰场2个，年屠宰加工肉羊50万只以上。</w:t>
      </w:r>
    </w:p>
    <w:p w14:paraId="009D6338">
      <w:pPr>
        <w:pStyle w:val="2"/>
        <w:rPr>
          <w:rFonts w:hint="eastAsia" w:ascii="仿宋" w:hAnsi="仿宋" w:eastAsia="仿宋" w:cs="仿宋"/>
          <w:color w:val="000000" w:themeColor="text1"/>
          <w:sz w:val="32"/>
          <w:szCs w:val="32"/>
          <w14:textFill>
            <w14:solidFill>
              <w14:schemeClr w14:val="tx1"/>
            </w14:solidFill>
          </w14:textFill>
        </w:rPr>
      </w:pPr>
    </w:p>
    <w:p w14:paraId="069FCBB5">
      <w:pPr>
        <w:pStyle w:val="2"/>
        <w:rPr>
          <w:rFonts w:hint="eastAsia" w:ascii="仿宋" w:hAnsi="仿宋" w:eastAsia="仿宋" w:cs="仿宋"/>
          <w:color w:val="000000" w:themeColor="text1"/>
          <w:sz w:val="32"/>
          <w:szCs w:val="32"/>
          <w14:textFill>
            <w14:solidFill>
              <w14:schemeClr w14:val="tx1"/>
            </w14:solidFill>
          </w14:textFill>
        </w:rPr>
      </w:pPr>
    </w:p>
    <w:p w14:paraId="1C81872B">
      <w:pPr>
        <w:pStyle w:val="2"/>
        <w:rPr>
          <w:rFonts w:hint="eastAsia" w:ascii="仿宋" w:hAnsi="仿宋" w:eastAsia="仿宋" w:cs="仿宋"/>
          <w:color w:val="000000" w:themeColor="text1"/>
          <w:sz w:val="32"/>
          <w:szCs w:val="32"/>
          <w14:textFill>
            <w14:solidFill>
              <w14:schemeClr w14:val="tx1"/>
            </w14:solidFill>
          </w14:textFill>
        </w:rPr>
      </w:pPr>
    </w:p>
    <w:p w14:paraId="030A9D9A">
      <w:pPr>
        <w:pStyle w:val="2"/>
        <w:rPr>
          <w:rFonts w:hint="eastAsia" w:ascii="仿宋" w:hAnsi="仿宋" w:eastAsia="仿宋" w:cs="仿宋"/>
          <w:color w:val="000000" w:themeColor="text1"/>
          <w:sz w:val="32"/>
          <w:szCs w:val="32"/>
          <w14:textFill>
            <w14:solidFill>
              <w14:schemeClr w14:val="tx1"/>
            </w14:solidFill>
          </w14:textFill>
        </w:rPr>
      </w:pPr>
    </w:p>
    <w:tbl>
      <w:tblPr>
        <w:tblStyle w:val="13"/>
        <w:tblW w:w="8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0"/>
      </w:tblGrid>
      <w:tr w14:paraId="7EC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0" w:type="dxa"/>
            <w:tcBorders>
              <w:top w:val="single" w:color="auto" w:sz="4" w:space="0"/>
              <w:left w:val="single" w:color="auto" w:sz="4" w:space="0"/>
              <w:bottom w:val="single" w:color="auto" w:sz="4" w:space="0"/>
              <w:right w:val="single" w:color="auto" w:sz="4" w:space="0"/>
            </w:tcBorders>
          </w:tcPr>
          <w:p w14:paraId="697B71F7">
            <w:pPr>
              <w:widowControl w:val="0"/>
              <w:spacing w:line="360" w:lineRule="auto"/>
              <w:jc w:val="center"/>
              <w:rPr>
                <w:rFonts w:hint="eastAsia" w:ascii="仿宋" w:hAnsi="仿宋" w:eastAsia="仿宋" w:cs="仿宋"/>
                <w:bCs/>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专栏5：“十四五”服务业发展</w:t>
            </w:r>
          </w:p>
        </w:tc>
      </w:tr>
      <w:tr w14:paraId="008C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8180" w:type="dxa"/>
            <w:tcBorders>
              <w:top w:val="single" w:color="auto" w:sz="4" w:space="0"/>
              <w:left w:val="single" w:color="auto" w:sz="4" w:space="0"/>
              <w:bottom w:val="single" w:color="auto" w:sz="4" w:space="0"/>
              <w:right w:val="single" w:color="auto" w:sz="4" w:space="0"/>
            </w:tcBorders>
          </w:tcPr>
          <w:p w14:paraId="3106445D">
            <w:pPr>
              <w:widowControl w:val="0"/>
              <w:numPr>
                <w:ilvl w:val="0"/>
                <w:numId w:val="0"/>
              </w:numPr>
              <w:spacing w:line="360" w:lineRule="auto"/>
              <w:jc w:val="both"/>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cstheme="minorEastAsia"/>
                <w:bCs/>
                <w:color w:val="000000" w:themeColor="text1"/>
                <w:lang w:eastAsia="zh-CN"/>
                <w14:textFill>
                  <w14:solidFill>
                    <w14:schemeClr w14:val="tx1"/>
                  </w14:solidFill>
                </w14:textFill>
              </w:rPr>
              <w:t>一、生产性服务业</w:t>
            </w:r>
          </w:p>
          <w:p w14:paraId="045510E5">
            <w:pPr>
              <w:widowControl w:val="0"/>
              <w:numPr>
                <w:ilvl w:val="0"/>
                <w:numId w:val="7"/>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扎赉特旗大型标准化农资市场建设项目，音德尔镇西、北、东各建设1处；</w:t>
            </w:r>
          </w:p>
          <w:p w14:paraId="28974D7C">
            <w:pPr>
              <w:widowControl w:val="0"/>
              <w:numPr>
                <w:ilvl w:val="0"/>
                <w:numId w:val="7"/>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扎赉特旗现代物流园区项目；</w:t>
            </w:r>
          </w:p>
          <w:p w14:paraId="2A6AE144">
            <w:pPr>
              <w:pStyle w:val="2"/>
              <w:numPr>
                <w:ilvl w:val="0"/>
                <w:numId w:val="7"/>
              </w:numPr>
              <w:spacing w:line="360" w:lineRule="auto"/>
              <w:ind w:left="0" w:leftChars="0" w:firstLine="0" w:firstLineChars="0"/>
              <w:rPr>
                <w:rFonts w:hint="eastAsia" w:asciiTheme="minorEastAsia" w:hAnsiTheme="minorEastAsia" w:eastAsiaTheme="minorEastAsia" w:cstheme="minorEastAsia"/>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建设肉羊交易市场。</w:t>
            </w:r>
          </w:p>
          <w:p w14:paraId="7782A3BF">
            <w:pPr>
              <w:pStyle w:val="2"/>
              <w:numPr>
                <w:ilvl w:val="0"/>
                <w:numId w:val="0"/>
              </w:numPr>
              <w:spacing w:line="360" w:lineRule="auto"/>
              <w:ind w:leftChars="0"/>
              <w:rPr>
                <w:rFonts w:hint="eastAsia" w:asciiTheme="minorEastAsia" w:hAnsiTheme="minorEastAsia" w:eastAsiaTheme="minorEastAsia" w:cstheme="minorEastAsia"/>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二、旅游业</w:t>
            </w:r>
          </w:p>
          <w:p w14:paraId="6CF71B5B">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14:textFill>
                  <w14:solidFill>
                    <w14:schemeClr w14:val="tx1"/>
                  </w14:solidFill>
                </w14:textFill>
              </w:rPr>
              <w:t>文得根水库旅游景区开发，开展环湖体育赛事开发、自然生态教育中心、特色小镇打造等；</w:t>
            </w:r>
          </w:p>
          <w:p w14:paraId="182CE27D">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14:textFill>
                  <w14:solidFill>
                    <w14:schemeClr w14:val="tx1"/>
                  </w14:solidFill>
                </w14:textFill>
              </w:rPr>
              <w:t>神山国家森林公园旅游基础设施及自然体验设施建设；</w:t>
            </w:r>
          </w:p>
          <w:p w14:paraId="19DC6ACB">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14:textFill>
                  <w14:solidFill>
                    <w14:schemeClr w14:val="tx1"/>
                  </w14:solidFill>
                </w14:textFill>
              </w:rPr>
              <w:t>绰尔托欣河国家湿地公园自然教育基地、森林康养步道、托欣河景观桥、湿地宣教馆建设；</w:t>
            </w:r>
          </w:p>
          <w:p w14:paraId="78E9FAE2">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14:textFill>
                  <w14:solidFill>
                    <w14:schemeClr w14:val="tx1"/>
                  </w14:solidFill>
                </w14:textFill>
              </w:rPr>
              <w:t>杏花山保护与旅游休闲项目；</w:t>
            </w:r>
          </w:p>
          <w:p w14:paraId="459FC487">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14:textFill>
                  <w14:solidFill>
                    <w14:schemeClr w14:val="tx1"/>
                  </w14:solidFill>
                </w14:textFill>
              </w:rPr>
              <w:t>达克图山生态保护与休闲度假项目；</w:t>
            </w:r>
          </w:p>
          <w:p w14:paraId="2B3919E3">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14:textFill>
                  <w14:solidFill>
                    <w14:schemeClr w14:val="tx1"/>
                  </w14:solidFill>
                </w14:textFill>
              </w:rPr>
              <w:t>各国有林场民宿项目</w:t>
            </w:r>
          </w:p>
          <w:p w14:paraId="6213E05A">
            <w:pPr>
              <w:widowControl w:val="0"/>
              <w:numPr>
                <w:ilvl w:val="0"/>
                <w:numId w:val="0"/>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14:textFill>
                  <w14:solidFill>
                    <w14:schemeClr w14:val="tx1"/>
                  </w14:solidFill>
                </w14:textFill>
              </w:rPr>
              <w:t>绰勒湖景区开发项目</w:t>
            </w:r>
          </w:p>
          <w:p w14:paraId="771BF659">
            <w:pPr>
              <w:pStyle w:val="2"/>
              <w:spacing w:line="360" w:lineRule="auto"/>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三、生活性服务业</w:t>
            </w:r>
          </w:p>
          <w:p w14:paraId="1CA117BD">
            <w:pPr>
              <w:pStyle w:val="2"/>
              <w:spacing w:line="360" w:lineRule="auto"/>
              <w:rPr>
                <w:rFonts w:hint="default" w:asciiTheme="minorEastAsia" w:hAnsiTheme="minorEastAsia" w:eastAsiaTheme="minorEastAsia" w:cstheme="minorEastAsia"/>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11、支持现代家政、养老托幼、智慧社区等建设。</w:t>
            </w:r>
          </w:p>
          <w:p w14:paraId="16CD68B5">
            <w:pPr>
              <w:widowControl w:val="0"/>
              <w:spacing w:line="360" w:lineRule="auto"/>
              <w:jc w:val="both"/>
              <w:rPr>
                <w:rFonts w:hint="eastAsia" w:ascii="仿宋" w:hAnsi="仿宋" w:eastAsia="仿宋" w:cs="仿宋"/>
                <w:bCs/>
                <w:color w:val="000000" w:themeColor="text1"/>
                <w14:textFill>
                  <w14:solidFill>
                    <w14:schemeClr w14:val="tx1"/>
                  </w14:solidFill>
                </w14:textFill>
              </w:rPr>
            </w:pPr>
          </w:p>
        </w:tc>
      </w:tr>
    </w:tbl>
    <w:p w14:paraId="31DBFB22">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14:paraId="494B29FE">
      <w:pPr>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7055514F">
      <w:pPr>
        <w:pStyle w:val="3"/>
        <w:pageBreakBefore w:val="0"/>
        <w:kinsoku/>
        <w:wordWrap/>
        <w:overflowPunct/>
        <w:topLinePunct w:val="0"/>
        <w:autoSpaceDE/>
        <w:autoSpaceDN/>
        <w:bidi w:val="0"/>
        <w:adjustRightInd/>
        <w:snapToGrid/>
        <w:spacing w:before="0" w:beforeLines="0" w:after="0" w:afterLines="0" w:line="600" w:lineRule="exact"/>
        <w:ind w:firstLine="0" w:firstLineChars="0"/>
        <w:textAlignment w:val="auto"/>
        <w:rPr>
          <w:rFonts w:hint="eastAsia" w:ascii="黑体" w:hAnsi="黑体" w:eastAsia="黑体" w:cs="黑体"/>
          <w:b w:val="0"/>
          <w:bCs w:val="0"/>
          <w:color w:val="000000" w:themeColor="text1"/>
          <w14:textFill>
            <w14:solidFill>
              <w14:schemeClr w14:val="tx1"/>
            </w14:solidFill>
          </w14:textFill>
        </w:rPr>
      </w:pPr>
      <w:bookmarkStart w:id="99" w:name="_Toc61280835"/>
      <w:bookmarkStart w:id="100" w:name="_Toc2949_WPSOffice_Level1"/>
      <w:bookmarkStart w:id="101" w:name="_Toc13114"/>
      <w:bookmarkStart w:id="102" w:name="_Toc5334"/>
      <w:bookmarkStart w:id="103" w:name="_Toc4587"/>
      <w:r>
        <w:rPr>
          <w:rFonts w:hint="eastAsia" w:ascii="黑体" w:hAnsi="黑体" w:eastAsia="黑体" w:cs="黑体"/>
          <w:b w:val="0"/>
          <w:bCs w:val="0"/>
          <w:color w:val="000000" w:themeColor="text1"/>
          <w14:textFill>
            <w14:solidFill>
              <w14:schemeClr w14:val="tx1"/>
            </w14:solidFill>
          </w14:textFill>
        </w:rPr>
        <w:t xml:space="preserve">第四章  统筹城乡发展 </w:t>
      </w:r>
      <w:bookmarkEnd w:id="99"/>
      <w:r>
        <w:rPr>
          <w:rFonts w:hint="eastAsia" w:ascii="黑体" w:hAnsi="黑体" w:eastAsia="黑体" w:cs="黑体"/>
          <w:b w:val="0"/>
          <w:bCs w:val="0"/>
          <w:color w:val="000000" w:themeColor="text1"/>
          <w14:textFill>
            <w14:solidFill>
              <w14:schemeClr w14:val="tx1"/>
            </w14:solidFill>
          </w14:textFill>
        </w:rPr>
        <w:t>构筑魅力扎赉特</w:t>
      </w:r>
      <w:bookmarkEnd w:id="100"/>
      <w:bookmarkEnd w:id="101"/>
      <w:bookmarkEnd w:id="102"/>
      <w:bookmarkEnd w:id="103"/>
    </w:p>
    <w:p w14:paraId="5B5AE318">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0908B831">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统筹城乡发展，优化区域</w:t>
      </w:r>
      <w:r>
        <w:rPr>
          <w:rFonts w:hint="eastAsia" w:ascii="仿宋" w:hAnsi="仿宋" w:eastAsia="仿宋" w:cs="仿宋"/>
          <w:color w:val="000000" w:themeColor="text1"/>
          <w:sz w:val="32"/>
          <w:szCs w:val="32"/>
          <w:lang w:val="en-US" w:eastAsia="zh-CN"/>
          <w14:textFill>
            <w14:solidFill>
              <w14:schemeClr w14:val="tx1"/>
            </w14:solidFill>
          </w14:textFill>
        </w:rPr>
        <w:t>布局、明确</w:t>
      </w:r>
      <w:r>
        <w:rPr>
          <w:rFonts w:hint="eastAsia" w:ascii="仿宋" w:hAnsi="仿宋" w:eastAsia="仿宋" w:cs="仿宋"/>
          <w:color w:val="000000" w:themeColor="text1"/>
          <w:sz w:val="32"/>
          <w:szCs w:val="32"/>
          <w14:textFill>
            <w14:solidFill>
              <w14:schemeClr w14:val="tx1"/>
            </w14:solidFill>
          </w14:textFill>
        </w:rPr>
        <w:t>功能定位，增强中心城镇承载力，加快特色小镇建设，促进巩固全面脱贫攻坚成果与乡村振兴有效衔接，全力推进乡村振兴，形成城乡功能有机互补、全域生态环境优美、各族居民安居乐业的区域协调发展新格局。</w:t>
      </w:r>
    </w:p>
    <w:p w14:paraId="0BB6BC8C">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104" w:name="_Toc4356"/>
      <w:bookmarkStart w:id="105" w:name="_Toc21583"/>
      <w:bookmarkStart w:id="106" w:name="_Toc32493"/>
      <w:bookmarkStart w:id="107" w:name="_Toc61280836"/>
      <w:r>
        <w:rPr>
          <w:rFonts w:hint="eastAsia" w:ascii="仿宋" w:hAnsi="仿宋" w:eastAsia="仿宋" w:cs="仿宋"/>
          <w:color w:val="000000" w:themeColor="text1"/>
          <w14:textFill>
            <w14:solidFill>
              <w14:schemeClr w14:val="tx1"/>
            </w14:solidFill>
          </w14:textFill>
        </w:rPr>
        <w:t>第一节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构建城乡空间发展新格局</w:t>
      </w:r>
      <w:bookmarkEnd w:id="104"/>
      <w:bookmarkEnd w:id="105"/>
      <w:bookmarkEnd w:id="106"/>
      <w:bookmarkEnd w:id="107"/>
    </w:p>
    <w:p w14:paraId="61F31A87">
      <w:pPr>
        <w:pStyle w:val="4"/>
        <w:pageBreakBefore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bookmarkStart w:id="108" w:name="_Toc6637"/>
      <w:bookmarkStart w:id="109" w:name="_Toc21214"/>
      <w:bookmarkStart w:id="110" w:name="_Toc27494"/>
      <w:bookmarkStart w:id="111" w:name="_Toc22339"/>
      <w:bookmarkStart w:id="112" w:name="_Toc23782"/>
      <w:bookmarkStart w:id="113" w:name="_Toc22430"/>
      <w:r>
        <w:rPr>
          <w:rFonts w:hint="eastAsia" w:ascii="仿宋" w:hAnsi="仿宋" w:eastAsia="仿宋" w:cs="仿宋"/>
          <w:b/>
          <w:bCs/>
          <w:color w:val="000000" w:themeColor="text1"/>
          <w:sz w:val="32"/>
          <w:szCs w:val="32"/>
          <w:lang w:val="en-US" w:eastAsia="zh-CN"/>
          <w14:textFill>
            <w14:solidFill>
              <w14:schemeClr w14:val="tx1"/>
            </w14:solidFill>
          </w14:textFill>
        </w:rPr>
        <w:t>构</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建</w:t>
      </w:r>
      <w:r>
        <w:rPr>
          <w:rFonts w:hint="eastAsia" w:ascii="仿宋" w:hAnsi="仿宋" w:eastAsia="仿宋" w:cs="仿宋"/>
          <w:b/>
          <w:bCs/>
          <w:color w:val="000000" w:themeColor="text1"/>
          <w:sz w:val="32"/>
          <w:szCs w:val="32"/>
          <w14:textFill>
            <w14:solidFill>
              <w14:schemeClr w14:val="tx1"/>
            </w14:solidFill>
          </w14:textFill>
        </w:rPr>
        <w:t>“一心一轴一带”城镇</w:t>
      </w:r>
      <w:r>
        <w:rPr>
          <w:rFonts w:hint="eastAsia" w:ascii="仿宋" w:hAnsi="仿宋" w:eastAsia="仿宋" w:cs="仿宋"/>
          <w:b/>
          <w:bCs/>
          <w:color w:val="000000" w:themeColor="text1"/>
          <w:sz w:val="32"/>
          <w:szCs w:val="32"/>
          <w:lang w:eastAsia="zh-CN"/>
          <w14:textFill>
            <w14:solidFill>
              <w14:schemeClr w14:val="tx1"/>
            </w14:solidFill>
          </w14:textFill>
        </w:rPr>
        <w:t>发展</w:t>
      </w:r>
      <w:r>
        <w:rPr>
          <w:rFonts w:hint="eastAsia" w:ascii="仿宋" w:hAnsi="仿宋" w:eastAsia="仿宋" w:cs="仿宋"/>
          <w:b/>
          <w:bCs/>
          <w:color w:val="000000" w:themeColor="text1"/>
          <w:sz w:val="32"/>
          <w:szCs w:val="32"/>
          <w14:textFill>
            <w14:solidFill>
              <w14:schemeClr w14:val="tx1"/>
            </w14:solidFill>
          </w14:textFill>
        </w:rPr>
        <w:t>格局</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综合考虑旗域自然资源、经济发展、文化特征和区位交通条件，结合城镇等级规模和职能类型，采取“强化中心，培育重点，发展轴线”的区域城镇发展模式。加快“一心一轴一带”建设，推进音德尔镇旗域主中心建设，着力强化集聚和辐射力，带动旗域城镇体系整体发展；打造南北走向的省际通道和111国道的复合交通线发展轴，串联新林、阿尔本格勒、巴彦扎拉嘎、巴彦高勒等城镇，带动旗域南北城镇发展；建设托绰尔河作为旗域城镇发展带，串联水域资源丰富城镇，推动旗域东西城镇发展。</w:t>
      </w:r>
    </w:p>
    <w:bookmarkEnd w:id="108"/>
    <w:bookmarkEnd w:id="109"/>
    <w:bookmarkEnd w:id="110"/>
    <w:bookmarkEnd w:id="111"/>
    <w:bookmarkEnd w:id="112"/>
    <w:bookmarkEnd w:id="113"/>
    <w:p w14:paraId="352875B6">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提升音德尔镇集聚承载能力。</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统筹优化交通网络，进一步完善城市道路框架，构建音德尔外环公路体系，打通“主动脉”，疏通“断头路”，畅通“微循环”，“十四五”期间，新建城镇道路14条，建设镇区智能停车场4处，停车位达到1200个，形成快速便捷的城市交通网络。推进博能生物质热电厂建设，健全供热、供水、污水管网、雨水管渠网络。积极推动新垃圾处理厂投入使用，开展原垃圾处理厂生态治理。加大城区绿化力度，推进森林公园、多兰湖公园提升工程建设，推动建设城市体育公园。逐步完善音德尔镇文化、体育、养老、教育基础设施，加快推进城镇更新工程，实施2005年以前老旧小区改造64个、108栋楼、3653户。有序进行房地产开发，计划开发112万平方米，切实改善人居环境质量。到2025年，建成区内城市道路长度达到93公里，音德尔镇供水管道长度146.263公里，供水普及率达到100%，供热管网长度381.096公里，污水管网长度136.19公里，污水处理率99%，雨水管线长度132.127公里，生活垃圾无害化处理率达到100%，到2025年镇区增绿50公顷，绿化覆盖率、绿地率、人均公园绿地面积分别达到38%、33%和22平方米，住宅小区物业覆盖率达到100%。狠抓市容市貌管理，取缔违法建设和非法经营活动，鼓励各类社会组织和公众参与城市管理，不断提高城市管理效能。鼓励多元投资主体参与城镇建设，重点解决居民教育、医疗、就业、出行、居住等不足问题，提高城镇居民生活质量。</w:t>
      </w:r>
    </w:p>
    <w:p w14:paraId="77BC65F9">
      <w:pPr>
        <w:pStyle w:val="2"/>
        <w:ind w:firstLine="643"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打造独具特色的小城镇。</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加强集阿高速和111国道沿线各乡镇建设，形成南北发展轴。增强巴彦高勒镇的副中心功能，着力提升产业和居住功能，打造扎赉特旗对接盟府的发展节点，密切与乌兰浩特市在产业链配套、科技服务、交通物流等方面联系。打造图牧吉生态特色小镇，开展草原保护与恢复、图牧吉水库补水和百灵湖生态修复，引导群众发展手工工艺和百合特色种植，挖掘乡土文化底蕴，发展乡村旅游，构建生态环境优美、天蓝水碧、百鸟齐飞、满眼绿色的休闲度假目的地。扩大好力保镇“农旅结合”特色小镇的产业规模和影响力，持续打造10万亩优质绿色水稻产业带，建设绰尔河农耕文化园和5个旅游驿站，建成全盟乃至全区智慧农业、观光农业的引领区。打造新林康养特色小镇，以优质道地药材产业为引领，壮大基地规模，2025年发展到15万亩，打响“兴安药镇·新林五味”品牌；提升小城镇基础设施条件，改造提升3公里街道，建成东北山珍产品集散地。规划建设巴彦乌兰旅游特色小镇，围绕神山、绰尔河、金界壕等原生态的旅游资源，挖掘本地文化内涵，放大产业生态化效益，建设一批独具魅力的民宿和旅游接待中心，完善餐饮、自然体验、康养等设施，打造全域旅游新亮点和新名片。</w:t>
      </w:r>
    </w:p>
    <w:p w14:paraId="37B0D4C6">
      <w:pPr>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深入推进城乡融合发展。</w:t>
      </w:r>
      <w:r>
        <w:rPr>
          <w:rFonts w:hint="eastAsia" w:ascii="仿宋" w:hAnsi="仿宋" w:eastAsia="仿宋" w:cs="仿宋"/>
          <w:color w:val="000000" w:themeColor="text1"/>
          <w:sz w:val="32"/>
          <w:szCs w:val="32"/>
          <w14:textFill>
            <w14:solidFill>
              <w14:schemeClr w14:val="tx1"/>
            </w14:solidFill>
          </w14:textFill>
        </w:rPr>
        <w:t>建立健全城乡融合发展体制机制，推进城乡要素自由流动、平等交换和公共资源合理配置。推动城镇基础设施、公共服务向农牧区延伸，大力实施乡村振兴战略，加快缩小城乡发展差距和居民生活水平差距。优化乡村发展布局，重点推进中心村建设，大力实施农村人居环境综合整治。</w:t>
      </w:r>
    </w:p>
    <w:p w14:paraId="3483EF76">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114" w:name="_Toc26448"/>
      <w:bookmarkStart w:id="115" w:name="_Toc28778"/>
      <w:bookmarkStart w:id="116" w:name="_Toc61280837"/>
      <w:bookmarkStart w:id="117" w:name="_Toc1593"/>
      <w:r>
        <w:rPr>
          <w:rFonts w:hint="eastAsia" w:ascii="仿宋" w:hAnsi="仿宋" w:eastAsia="仿宋" w:cs="仿宋"/>
          <w:color w:val="000000" w:themeColor="text1"/>
          <w14:textFill>
            <w14:solidFill>
              <w14:schemeClr w14:val="tx1"/>
            </w14:solidFill>
          </w14:textFill>
        </w:rPr>
        <w:t xml:space="preserve">第二节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加强城乡基础设施建设</w:t>
      </w:r>
      <w:bookmarkEnd w:id="114"/>
      <w:bookmarkEnd w:id="115"/>
      <w:bookmarkEnd w:id="116"/>
      <w:bookmarkEnd w:id="117"/>
    </w:p>
    <w:p w14:paraId="6941E074">
      <w:pPr>
        <w:pStyle w:val="2"/>
        <w:ind w:firstLine="643"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完善综合交通运输体系。</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以集阿高速、Ｇ111等通道为骨架，构筑内畅外联的交通网络，推动齐乌通高速铁路建设，形成服务于全盟、对接东北经济圈和“霍乌哈”金三角经济区的大交通、大物流、大开放格局。加快建设1个机场（扎赉特旗通用机场）、1条航道（绰尔河航运）、1个园区（音德尔物流园区）、2条铁路（乌江铁路和扎赉特至扎兰屯铁路）、3大网络（通道网、国省干线网、农村公路网）、4大枢纽（音德尔客运枢纽、北部阿尔本格勒客运枢纽、南部图牧吉客运枢纽、西部胡尔勒客运枢纽），形成层次分明、有机互联的“111234”综合交通运输系统。到2025年，形成“扎赉特旗1-3-5小时出行圈”，逐步融入“全球123快货物流圈”。</w:t>
      </w:r>
    </w:p>
    <w:p w14:paraId="1FF37F83">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畅通内外公路连接。</w:t>
      </w:r>
      <w:r>
        <w:rPr>
          <w:rFonts w:hint="eastAsia" w:ascii="仿宋" w:hAnsi="仿宋" w:eastAsia="仿宋" w:cs="仿宋"/>
          <w:bCs/>
          <w:color w:val="000000" w:themeColor="text1"/>
          <w:sz w:val="32"/>
          <w:szCs w:val="32"/>
          <w14:textFill>
            <w14:solidFill>
              <w14:schemeClr w14:val="tx1"/>
            </w14:solidFill>
          </w14:textFill>
        </w:rPr>
        <w:t>布局“二纵二横一联”的通道网络，形成乌兰浩特连接扎兰屯（Ｇ5511），科右前旗连接扎兰屯（Ｓ204），齐齐哈尔连接科右前旗（Ｓ309），阿尔山连接齐齐哈尔（景兴至阿尔山界），音德尔连接白城（Ｓ205）五条主要对外通道。“十四五”期间，改造国省干线公路4条，包括204察尔森至浩饶山119公里、Ｓ501音德尔至泰赉6公里、Ｓ309繁殖场至阿力得尔125公里、Ｓ205龙江至镇赉108.4公里；农村公路28条731.8公里。完成产业路、旅游路161.3公里，农村联网公路243.5公里，行政村通双车道公路828.6公里，农村桥涵新建改建23座。</w:t>
      </w:r>
    </w:p>
    <w:p w14:paraId="1BF85DAF">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完善水利基础设施。</w:t>
      </w:r>
      <w:r>
        <w:rPr>
          <w:rFonts w:hint="eastAsia" w:ascii="仿宋" w:hAnsi="仿宋" w:eastAsia="仿宋" w:cs="仿宋"/>
          <w:color w:val="000000" w:themeColor="text1"/>
          <w:sz w:val="32"/>
          <w:szCs w:val="32"/>
          <w14:textFill>
            <w14:solidFill>
              <w14:schemeClr w14:val="tx1"/>
            </w14:solidFill>
          </w14:textFill>
        </w:rPr>
        <w:t>全力保障“引绰济辽”重大工程及配套项目，开展文得根水库下游灌区、耿家屯水库和“引绰济图”跨流域调水、农村水系综合整治、音德尔镇区排水等项目规划建设。启动建设新林灌区和巴彦高勒灌区；开展中小河流治理、水土保持、山洪沟治理和努文木仁涝区治理。实施水源地一级保护区治理工程，改善城镇供水设施，新建加压泵站1座，按照城镇化发展需求新建清水池、吸水井和输配水管网，改造老旧铸铁供水主管线，更换既有深井泵、送水泵房和加氯间设备。实施农村饮水安全巩固提升计划，增建集中供水水设施76处，改建214处</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保障17.26万人饮水安全。</w:t>
      </w:r>
    </w:p>
    <w:p w14:paraId="7D4DA3CB">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推进</w:t>
      </w:r>
      <w:r>
        <w:rPr>
          <w:rFonts w:hint="eastAsia" w:ascii="仿宋" w:hAnsi="仿宋" w:eastAsia="仿宋" w:cs="仿宋"/>
          <w:b/>
          <w:bCs/>
          <w:color w:val="000000" w:themeColor="text1"/>
          <w:sz w:val="32"/>
          <w:szCs w:val="32"/>
          <w14:textFill>
            <w14:solidFill>
              <w14:schemeClr w14:val="tx1"/>
            </w14:solidFill>
          </w14:textFill>
        </w:rPr>
        <w:t>农村电网改造升级。</w:t>
      </w:r>
      <w:r>
        <w:rPr>
          <w:rFonts w:hint="eastAsia" w:ascii="仿宋" w:hAnsi="仿宋" w:eastAsia="仿宋" w:cs="仿宋"/>
          <w:color w:val="000000" w:themeColor="text1"/>
          <w:sz w:val="32"/>
          <w:szCs w:val="32"/>
          <w14:textFill>
            <w14:solidFill>
              <w14:schemeClr w14:val="tx1"/>
            </w14:solidFill>
          </w14:textFill>
        </w:rPr>
        <w:t>加快解决电网薄弱环节，以安全可靠、满足用户需求为目标，加快各级目标网架的建设，确保负荷“来得了，接得下”、电源“接得进，送得出”。“十四五”</w:t>
      </w:r>
      <w:r>
        <w:rPr>
          <w:rFonts w:hint="eastAsia" w:ascii="仿宋" w:hAnsi="仿宋" w:eastAsia="仿宋" w:cs="仿宋"/>
          <w:color w:val="000000" w:themeColor="text1"/>
          <w:sz w:val="32"/>
          <w:szCs w:val="32"/>
          <w:lang w:val="en-US" w:eastAsia="zh-CN"/>
          <w14:textFill>
            <w14:solidFill>
              <w14:schemeClr w14:val="tx1"/>
            </w14:solidFill>
          </w14:textFill>
        </w:rPr>
        <w:t>期间</w:t>
      </w:r>
      <w:r>
        <w:rPr>
          <w:rFonts w:hint="eastAsia" w:ascii="仿宋" w:hAnsi="仿宋" w:eastAsia="仿宋" w:cs="仿宋"/>
          <w:color w:val="000000" w:themeColor="text1"/>
          <w:sz w:val="32"/>
          <w:szCs w:val="32"/>
          <w14:textFill>
            <w14:solidFill>
              <w14:schemeClr w14:val="tx1"/>
            </w14:solidFill>
          </w14:textFill>
        </w:rPr>
        <w:t>，新建500千伏变电站1座，新建220千伏变电站3座，实现220千伏电网整体网架坚强度实现质的飞跃；完成扎赉特旗66千伏变电站布点工作，有效提升66千伏变电站主变N-1率、66千伏线路N-1率；10千伏线路供电半径明显缩短，负荷转带能力显著增强，居民停电时间、次数大幅较少，扎赉特旗整体供电可靠性攀升至新的高位。</w:t>
      </w:r>
    </w:p>
    <w:p w14:paraId="30B22993">
      <w:pPr>
        <w:pStyle w:val="16"/>
        <w:pageBreakBefore w:val="0"/>
        <w:kinsoku/>
        <w:wordWrap/>
        <w:overflowPunct/>
        <w:topLinePunct w:val="0"/>
        <w:autoSpaceDE/>
        <w:autoSpaceDN/>
        <w:bidi w:val="0"/>
        <w:adjustRightInd/>
        <w:snapToGrid/>
        <w:spacing w:line="600" w:lineRule="exact"/>
        <w:ind w:firstLine="642" w:firstLineChars="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加快信息基础设施建设。</w:t>
      </w:r>
      <w:r>
        <w:rPr>
          <w:rFonts w:hint="eastAsia" w:ascii="仿宋" w:hAnsi="仿宋" w:eastAsia="仿宋" w:cs="仿宋"/>
          <w:bCs/>
          <w:color w:val="000000" w:themeColor="text1"/>
          <w14:textFill>
            <w14:solidFill>
              <w14:schemeClr w14:val="tx1"/>
            </w14:solidFill>
          </w14:textFill>
        </w:rPr>
        <w:t>加快</w:t>
      </w:r>
      <w:r>
        <w:rPr>
          <w:rFonts w:hint="eastAsia" w:ascii="仿宋" w:hAnsi="仿宋" w:eastAsia="仿宋" w:cs="仿宋"/>
          <w:bCs/>
          <w:color w:val="000000" w:themeColor="text1"/>
          <w:lang w:val="en-US" w:eastAsia="zh-CN"/>
          <w14:textFill>
            <w14:solidFill>
              <w14:schemeClr w14:val="tx1"/>
            </w14:solidFill>
          </w14:textFill>
        </w:rPr>
        <w:t>5G</w:t>
      </w:r>
      <w:r>
        <w:rPr>
          <w:rFonts w:hint="eastAsia" w:ascii="仿宋" w:hAnsi="仿宋" w:eastAsia="仿宋" w:cs="仿宋"/>
          <w:bCs/>
          <w:color w:val="000000" w:themeColor="text1"/>
          <w14:textFill>
            <w14:solidFill>
              <w14:schemeClr w14:val="tx1"/>
            </w14:solidFill>
          </w14:textFill>
        </w:rPr>
        <w:t>网络部署，推进车站、社区、商场等重点区域</w:t>
      </w:r>
      <w:r>
        <w:rPr>
          <w:rFonts w:hint="eastAsia" w:ascii="仿宋" w:hAnsi="仿宋" w:eastAsia="仿宋" w:cs="仿宋"/>
          <w:bCs/>
          <w:color w:val="000000" w:themeColor="text1"/>
          <w:lang w:val="en-US" w:eastAsia="zh-CN"/>
          <w14:textFill>
            <w14:solidFill>
              <w14:schemeClr w14:val="tx1"/>
            </w14:solidFill>
          </w14:textFill>
        </w:rPr>
        <w:t>5G</w:t>
      </w:r>
      <w:r>
        <w:rPr>
          <w:rFonts w:hint="eastAsia" w:ascii="仿宋" w:hAnsi="仿宋" w:eastAsia="仿宋" w:cs="仿宋"/>
          <w:bCs/>
          <w:color w:val="000000" w:themeColor="text1"/>
          <w14:textFill>
            <w14:solidFill>
              <w14:schemeClr w14:val="tx1"/>
            </w14:solidFill>
          </w14:textFill>
        </w:rPr>
        <w:t>基站320个和配套网络建设；部署</w:t>
      </w:r>
      <w:r>
        <w:rPr>
          <w:rFonts w:hint="eastAsia" w:ascii="仿宋" w:hAnsi="仿宋" w:eastAsia="仿宋" w:cs="仿宋"/>
          <w:bCs/>
          <w:color w:val="000000" w:themeColor="text1"/>
          <w:lang w:val="en-US" w:eastAsia="zh-CN"/>
          <w14:textFill>
            <w14:solidFill>
              <w14:schemeClr w14:val="tx1"/>
            </w14:solidFill>
          </w14:textFill>
        </w:rPr>
        <w:t>4G</w:t>
      </w:r>
      <w:r>
        <w:rPr>
          <w:rFonts w:hint="eastAsia" w:ascii="仿宋" w:hAnsi="仿宋" w:eastAsia="仿宋" w:cs="仿宋"/>
          <w:bCs/>
          <w:color w:val="000000" w:themeColor="text1"/>
          <w14:textFill>
            <w14:solidFill>
              <w14:schemeClr w14:val="tx1"/>
            </w14:solidFill>
          </w14:textFill>
        </w:rPr>
        <w:t>基站20个，推进基础薄弱乡村和信号盲区</w:t>
      </w:r>
      <w:r>
        <w:rPr>
          <w:rFonts w:hint="eastAsia" w:ascii="仿宋" w:hAnsi="仿宋" w:eastAsia="仿宋" w:cs="仿宋"/>
          <w:bCs/>
          <w:color w:val="000000" w:themeColor="text1"/>
          <w:lang w:val="en-US" w:eastAsia="zh-CN"/>
          <w14:textFill>
            <w14:solidFill>
              <w14:schemeClr w14:val="tx1"/>
            </w14:solidFill>
          </w14:textFill>
        </w:rPr>
        <w:t>4G</w:t>
      </w:r>
      <w:r>
        <w:rPr>
          <w:rFonts w:hint="eastAsia" w:ascii="仿宋" w:hAnsi="仿宋" w:eastAsia="仿宋" w:cs="仿宋"/>
          <w:bCs/>
          <w:color w:val="000000" w:themeColor="text1"/>
          <w14:textFill>
            <w14:solidFill>
              <w14:schemeClr w14:val="tx1"/>
            </w14:solidFill>
          </w14:textFill>
        </w:rPr>
        <w:t>网络覆盖。针对小区光缆乱现象，改造整治小区50个；</w:t>
      </w:r>
      <w:r>
        <w:rPr>
          <w:rFonts w:hint="eastAsia" w:ascii="仿宋" w:hAnsi="仿宋" w:eastAsia="仿宋" w:cs="仿宋"/>
          <w:color w:val="000000" w:themeColor="text1"/>
          <w14:textFill>
            <w14:solidFill>
              <w14:schemeClr w14:val="tx1"/>
            </w14:solidFill>
          </w14:textFill>
        </w:rPr>
        <w:t>完成全旗剩余52个村屯宽带建设，实现村屯宽带全覆盖；</w:t>
      </w:r>
      <w:r>
        <w:rPr>
          <w:rFonts w:hint="eastAsia" w:ascii="仿宋" w:hAnsi="仿宋" w:eastAsia="仿宋" w:cs="仿宋"/>
          <w:bCs/>
          <w:color w:val="000000" w:themeColor="text1"/>
          <w14:textFill>
            <w14:solidFill>
              <w14:schemeClr w14:val="tx1"/>
            </w14:solidFill>
          </w14:textFill>
        </w:rPr>
        <w:t>推进应急、就业、市政、交通、卫健、社区等公共领域部门间数据整合共享。</w:t>
      </w:r>
      <w:r>
        <w:rPr>
          <w:rFonts w:hint="eastAsia" w:ascii="仿宋" w:hAnsi="仿宋" w:eastAsia="仿宋" w:cs="仿宋"/>
          <w:color w:val="000000" w:themeColor="text1"/>
          <w14:textFill>
            <w14:solidFill>
              <w14:schemeClr w14:val="tx1"/>
            </w14:solidFill>
          </w14:textFill>
        </w:rPr>
        <w:t>到2025年，“智慧扎旗”建设取得重大突破，宽带网络城乡覆盖率大幅度提高，电子政务公共服务体系更加健全，企业和城乡居民的信息化享用水平全面提升，实现信息化跨越式发展。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E1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22" w:type="dxa"/>
          </w:tcPr>
          <w:p w14:paraId="5A7F3D27">
            <w:pPr>
              <w:widowControl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专栏6: “十四五”重点基础设施建设项目</w:t>
            </w:r>
          </w:p>
        </w:tc>
      </w:tr>
      <w:tr w14:paraId="7581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424C327A">
            <w:pPr>
              <w:keepNext w:val="0"/>
              <w:keepLines w:val="0"/>
              <w:pageBreakBefore w:val="0"/>
              <w:widowControl w:val="0"/>
              <w:numPr>
                <w:ilvl w:val="0"/>
                <w:numId w:val="8"/>
              </w:numPr>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交通基础设施</w:t>
            </w:r>
          </w:p>
          <w:p w14:paraId="21D8BE2D">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1.乌江铁路项目</w:t>
            </w:r>
          </w:p>
          <w:p w14:paraId="334AB6B4">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2.开展扎赉特旗-扎兰屯铁路项目可行性研究</w:t>
            </w:r>
          </w:p>
          <w:p w14:paraId="41B07061">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3.扎赉特旗通用机场建设项目</w:t>
            </w:r>
          </w:p>
          <w:p w14:paraId="5502BAC6">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4.绰尔河航运项目</w:t>
            </w:r>
          </w:p>
          <w:p w14:paraId="36CD582B">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5.省道204线浩绕山至察尔森段旅游公路项目，119公里</w:t>
            </w:r>
          </w:p>
          <w:p w14:paraId="278EE98C">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6.景星至阿扎界段公路改扩建项目147公里</w:t>
            </w:r>
          </w:p>
          <w:p w14:paraId="0869EAE4">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7.省道309线繁殖场至阿力得尔段项目120公里</w:t>
            </w:r>
          </w:p>
          <w:p w14:paraId="476594A9">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8.国道111线音德尔至新林北段建设项目121公里</w:t>
            </w:r>
          </w:p>
          <w:p w14:paraId="53FA9212">
            <w:pPr>
              <w:keepNext w:val="0"/>
              <w:keepLines w:val="0"/>
              <w:pageBreakBefore w:val="0"/>
              <w:widowControl w:val="0"/>
              <w:kinsoku/>
              <w:wordWrap/>
              <w:overflowPunct/>
              <w:topLinePunct w:val="0"/>
              <w:bidi w:val="0"/>
              <w:snapToGrid/>
              <w:spacing w:line="460" w:lineRule="exact"/>
              <w:ind w:left="0" w:leftChars="0"/>
              <w:jc w:val="left"/>
              <w:textAlignment w:val="auto"/>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9.</w:t>
            </w:r>
            <w:r>
              <w:rPr>
                <w:rFonts w:hint="eastAsia" w:asciiTheme="minorEastAsia" w:hAnsiTheme="minorEastAsia" w:cstheme="minorEastAsia"/>
                <w:color w:val="000000" w:themeColor="text1"/>
                <w:kern w:val="13"/>
                <w:sz w:val="24"/>
                <w:szCs w:val="24"/>
                <w:lang w:eastAsia="zh-CN"/>
                <w14:textFill>
                  <w14:solidFill>
                    <w14:schemeClr w14:val="tx1"/>
                  </w14:solidFill>
                </w14:textFill>
              </w:rPr>
              <w:t>扎赉特旗至阿尔山旅游公路七家子至喇嘛洞大桥段旅游公路项目</w:t>
            </w: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110.74公里</w:t>
            </w:r>
          </w:p>
          <w:p w14:paraId="6EE0E331">
            <w:pPr>
              <w:pStyle w:val="2"/>
              <w:keepNext w:val="0"/>
              <w:keepLines w:val="0"/>
              <w:pageBreakBefore w:val="0"/>
              <w:widowControl w:val="0"/>
              <w:kinsoku/>
              <w:wordWrap/>
              <w:overflowPunct/>
              <w:topLinePunct w:val="0"/>
              <w:bidi w:val="0"/>
              <w:snapToGrid/>
              <w:spacing w:line="460" w:lineRule="exact"/>
              <w:jc w:val="both"/>
              <w:textAlignment w:val="auto"/>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10.好森沟至新林公路（西巴彦乌兰至新林段）建设项目60.88公里</w:t>
            </w:r>
          </w:p>
          <w:p w14:paraId="683B06F6">
            <w:pPr>
              <w:pStyle w:val="2"/>
              <w:keepNext w:val="0"/>
              <w:keepLines w:val="0"/>
              <w:pageBreakBefore w:val="0"/>
              <w:widowControl w:val="0"/>
              <w:kinsoku/>
              <w:wordWrap/>
              <w:overflowPunct/>
              <w:topLinePunct w:val="0"/>
              <w:bidi w:val="0"/>
              <w:snapToGrid/>
              <w:spacing w:line="460" w:lineRule="exact"/>
              <w:jc w:val="both"/>
              <w:textAlignment w:val="auto"/>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11.腰五九至宝力根花公路（宝力高至解放屯段）建设项目22公里</w:t>
            </w:r>
          </w:p>
          <w:p w14:paraId="40B1E5C1">
            <w:pPr>
              <w:pStyle w:val="2"/>
              <w:keepNext w:val="0"/>
              <w:keepLines w:val="0"/>
              <w:pageBreakBefore w:val="0"/>
              <w:widowControl w:val="0"/>
              <w:kinsoku/>
              <w:wordWrap/>
              <w:overflowPunct/>
              <w:topLinePunct w:val="0"/>
              <w:bidi w:val="0"/>
              <w:snapToGrid/>
              <w:spacing w:line="460" w:lineRule="exact"/>
              <w:jc w:val="both"/>
              <w:textAlignment w:val="auto"/>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12.县道420（乌兰浩特至图牧吉段）改扩建工程</w:t>
            </w:r>
          </w:p>
          <w:p w14:paraId="0731A932">
            <w:pPr>
              <w:pStyle w:val="2"/>
              <w:keepNext w:val="0"/>
              <w:keepLines w:val="0"/>
              <w:pageBreakBefore w:val="0"/>
              <w:widowControl w:val="0"/>
              <w:kinsoku/>
              <w:wordWrap/>
              <w:overflowPunct/>
              <w:topLinePunct w:val="0"/>
              <w:bidi w:val="0"/>
              <w:snapToGrid/>
              <w:spacing w:line="460" w:lineRule="exact"/>
              <w:jc w:val="both"/>
              <w:textAlignment w:val="auto"/>
              <w:rPr>
                <w:rFonts w:hint="default" w:asciiTheme="minorEastAsia" w:hAnsi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13.扎赉特旗花园大桥、巴拉嘎大桥建设项目</w:t>
            </w:r>
          </w:p>
          <w:p w14:paraId="04D2776F">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自然村通硬化路项目89.3公里</w:t>
            </w:r>
          </w:p>
          <w:p w14:paraId="4C656E3C">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w:t>
            </w: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.建制村通双车道项目828.6公里</w:t>
            </w:r>
          </w:p>
          <w:p w14:paraId="58169978">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w:t>
            </w: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.资源路、旅游路、产业路项目386.3公里</w:t>
            </w:r>
          </w:p>
          <w:p w14:paraId="199BB8BA">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w:t>
            </w: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.公路提质改造项目64.5公里</w:t>
            </w:r>
          </w:p>
          <w:p w14:paraId="1DC5E64B">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w:t>
            </w: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.联网路项目243.5公里</w:t>
            </w:r>
          </w:p>
          <w:p w14:paraId="319D9F1C">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二、城镇基础设施</w:t>
            </w:r>
          </w:p>
          <w:p w14:paraId="671FFA79">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14.音德尔镇智能停车场建设工程</w:t>
            </w:r>
          </w:p>
          <w:p w14:paraId="126AF596">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15.水源地一级保护区治理工程</w:t>
            </w:r>
          </w:p>
          <w:p w14:paraId="0004A8B3">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16.小城镇供热工程</w:t>
            </w:r>
          </w:p>
          <w:p w14:paraId="264B50EF">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17.音德尔镇森林公园提升、多兰湖公园扩建、体育公园建设项目</w:t>
            </w:r>
          </w:p>
          <w:p w14:paraId="13D0BA26">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18.音德尔镇雨水管渠工程</w:t>
            </w:r>
          </w:p>
          <w:p w14:paraId="10ECD56E">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19.音德尔镇平房区改造项目</w:t>
            </w:r>
          </w:p>
          <w:p w14:paraId="5D9963BC">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20.音德尔镇老旧小区改造项目</w:t>
            </w:r>
          </w:p>
          <w:p w14:paraId="1DD797D1">
            <w:pPr>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21.北山街道路工程</w:t>
            </w:r>
          </w:p>
          <w:p w14:paraId="14F76692">
            <w:pPr>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22.神山街东段道路工程</w:t>
            </w:r>
          </w:p>
          <w:p w14:paraId="2B43BC1B">
            <w:pPr>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23.中心街西段道路工程</w:t>
            </w:r>
          </w:p>
          <w:p w14:paraId="6B28A560">
            <w:pPr>
              <w:pStyle w:val="2"/>
              <w:keepNext w:val="0"/>
              <w:keepLines w:val="0"/>
              <w:pageBreakBefore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24.小城镇污水处理工程</w:t>
            </w:r>
          </w:p>
          <w:p w14:paraId="4E13222B">
            <w:pPr>
              <w:pStyle w:val="2"/>
              <w:keepNext w:val="0"/>
              <w:keepLines w:val="0"/>
              <w:pageBreakBefore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25.小城镇集中供热工程</w:t>
            </w:r>
          </w:p>
          <w:p w14:paraId="64785F35">
            <w:pPr>
              <w:keepNext w:val="0"/>
              <w:keepLines w:val="0"/>
              <w:pageBreakBefore w:val="0"/>
              <w:widowControl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26.农村垃圾治理工程</w:t>
            </w:r>
          </w:p>
          <w:p w14:paraId="62D9FCE5">
            <w:pPr>
              <w:pStyle w:val="2"/>
              <w:keepNext w:val="0"/>
              <w:keepLines w:val="0"/>
              <w:pageBreakBefore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27.农村街巷道路工程</w:t>
            </w:r>
          </w:p>
          <w:p w14:paraId="7D95A13B">
            <w:pPr>
              <w:pStyle w:val="2"/>
              <w:keepNext w:val="0"/>
              <w:keepLines w:val="0"/>
              <w:pageBreakBefore w:val="0"/>
              <w:kinsoku/>
              <w:wordWrap/>
              <w:overflowPunct/>
              <w:topLinePunct w:val="0"/>
              <w:bidi w:val="0"/>
              <w:snapToGrid/>
              <w:spacing w:line="360" w:lineRule="auto"/>
              <w:ind w:left="0" w:leftChars="0"/>
              <w:jc w:val="both"/>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28.农村绿化工程</w:t>
            </w:r>
          </w:p>
          <w:p w14:paraId="11746C96">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三、水利基础设施</w:t>
            </w:r>
          </w:p>
          <w:p w14:paraId="51F16CFC">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.文德根水库下游灌区项目</w:t>
            </w:r>
          </w:p>
          <w:p w14:paraId="38896C15">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农村水系综合整治工程，农村河沟综合整治29条，荒山荒坡治理1处，坡耕地整治1处、跨河水系连通工程1处</w:t>
            </w:r>
          </w:p>
          <w:p w14:paraId="0F7D7BD7">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.农村饮水安全巩固提升规划项目</w:t>
            </w:r>
          </w:p>
          <w:p w14:paraId="7C163B97">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.绰勒水库下游灌区末级渠系改造，规模12.67万亩</w:t>
            </w:r>
          </w:p>
          <w:p w14:paraId="343DD6D0">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.高效节水示范基地，以音德尔、图牧吉、巴彦高勒为重点建设高效节水示范基地100万亩</w:t>
            </w:r>
          </w:p>
          <w:p w14:paraId="3AAB4BFD">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.耿家屯水库及下游灌区工程，库容9955万立方米</w:t>
            </w:r>
          </w:p>
          <w:p w14:paraId="07516953">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.中小河流治理工程</w:t>
            </w:r>
          </w:p>
          <w:p w14:paraId="568847BA">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.音德尔镇区排水工程</w:t>
            </w:r>
          </w:p>
          <w:p w14:paraId="6D57B6E3">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37</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.努文木仁乡排涝工程16万亩</w:t>
            </w:r>
          </w:p>
          <w:p w14:paraId="4D5F6008">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38</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.100万亩黑土地保护与治理工程</w:t>
            </w:r>
          </w:p>
          <w:p w14:paraId="1B3B6CCE">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.全旗农村给水工程</w:t>
            </w:r>
          </w:p>
          <w:p w14:paraId="59F47CCA">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.中型灌区工程，建成新林、巴彦高勒灌区10万亩</w:t>
            </w:r>
          </w:p>
          <w:p w14:paraId="6C41256B">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.引绰济图生态补水工程，渠道工程50.5公里</w:t>
            </w:r>
          </w:p>
          <w:p w14:paraId="67126A92">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13"/>
                <w:sz w:val="24"/>
                <w:szCs w:val="24"/>
                <w:lang w:val="en-US" w:eastAsia="zh-CN"/>
                <w14:textFill>
                  <w14:solidFill>
                    <w14:schemeClr w14:val="tx1"/>
                  </w14:solidFill>
                </w14:textFill>
              </w:rPr>
              <w:t>四、电力基础设施</w:t>
            </w:r>
          </w:p>
          <w:p w14:paraId="73D63E38">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kern w:val="13"/>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13"/>
                <w:sz w:val="22"/>
                <w:szCs w:val="22"/>
                <w14:textFill>
                  <w14:solidFill>
                    <w14:schemeClr w14:val="tx1"/>
                  </w14:solidFill>
                </w14:textFill>
              </w:rPr>
              <w:t>新建500千伏变电站1座，新建66千伏变电站9座，新建220千伏变电站3座</w:t>
            </w:r>
          </w:p>
          <w:p w14:paraId="6175ABC0">
            <w:pPr>
              <w:keepNext w:val="0"/>
              <w:keepLines w:val="0"/>
              <w:pageBreakBefore w:val="0"/>
              <w:widowControl w:val="0"/>
              <w:kinsoku/>
              <w:wordWrap/>
              <w:overflowPunct/>
              <w:topLinePunct w:val="0"/>
              <w:bidi w:val="0"/>
              <w:snapToGrid/>
              <w:spacing w:line="360" w:lineRule="auto"/>
              <w:ind w:left="0" w:leftChars="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13"/>
                <w:sz w:val="24"/>
                <w:szCs w:val="24"/>
                <w:lang w:val="en-US" w:eastAsia="zh-CN"/>
                <w14:textFill>
                  <w14:solidFill>
                    <w14:schemeClr w14:val="tx1"/>
                  </w14:solidFill>
                </w14:textFill>
              </w:rPr>
              <w:t>43</w:t>
            </w:r>
            <w:r>
              <w:rPr>
                <w:rFonts w:hint="eastAsia" w:asciiTheme="minorEastAsia" w:hAnsiTheme="minorEastAsia" w:eastAsiaTheme="minorEastAsia" w:cstheme="minorEastAsia"/>
                <w:color w:val="000000" w:themeColor="text1"/>
                <w:kern w:val="13"/>
                <w:sz w:val="24"/>
                <w:szCs w:val="24"/>
                <w14:textFill>
                  <w14:solidFill>
                    <w14:schemeClr w14:val="tx1"/>
                  </w14:solidFill>
                </w14:textFill>
              </w:rPr>
              <w:t>.改造66千伏线路149.6公里，新建66千伏线路215公里，新建220千伏线路325公里，改造10千伏变压器2200台，改造10千伏以下线路3400公里。</w:t>
            </w:r>
          </w:p>
        </w:tc>
      </w:tr>
    </w:tbl>
    <w:p w14:paraId="2572F898">
      <w:pPr>
        <w:rPr>
          <w:rFonts w:hint="eastAsia" w:ascii="仿宋" w:hAnsi="仿宋" w:eastAsia="仿宋" w:cs="仿宋"/>
          <w:color w:val="000000" w:themeColor="text1"/>
          <w14:textFill>
            <w14:solidFill>
              <w14:schemeClr w14:val="tx1"/>
            </w14:solidFill>
          </w14:textFill>
        </w:rPr>
      </w:pPr>
      <w:bookmarkStart w:id="118" w:name="_Toc61280838"/>
    </w:p>
    <w:p w14:paraId="464D6CB5">
      <w:pPr>
        <w:pStyle w:val="4"/>
        <w:pageBreakBefore w:val="0"/>
        <w:kinsoku/>
        <w:wordWrap/>
        <w:overflowPunct/>
        <w:topLinePunct w:val="0"/>
        <w:autoSpaceDE/>
        <w:autoSpaceDN/>
        <w:bidi w:val="0"/>
        <w:adjustRightInd/>
        <w:snapToGrid/>
        <w:spacing w:line="600" w:lineRule="exact"/>
        <w:rPr>
          <w:rFonts w:hint="eastAsia" w:ascii="仿宋" w:hAnsi="仿宋" w:eastAsia="仿宋" w:cs="仿宋"/>
          <w:color w:val="000000" w:themeColor="text1"/>
          <w14:textFill>
            <w14:solidFill>
              <w14:schemeClr w14:val="tx1"/>
            </w14:solidFill>
          </w14:textFill>
        </w:rPr>
      </w:pPr>
      <w:bookmarkStart w:id="119" w:name="_Toc19519"/>
      <w:bookmarkStart w:id="120" w:name="_Toc4949"/>
      <w:bookmarkStart w:id="121" w:name="_Toc25970"/>
      <w:r>
        <w:rPr>
          <w:rFonts w:hint="eastAsia" w:ascii="仿宋" w:hAnsi="仿宋" w:eastAsia="仿宋" w:cs="仿宋"/>
          <w:color w:val="000000" w:themeColor="text1"/>
          <w14:textFill>
            <w14:solidFill>
              <w14:schemeClr w14:val="tx1"/>
            </w14:solidFill>
          </w14:textFill>
        </w:rPr>
        <w:t>第三节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全面推进乡村振兴</w:t>
      </w:r>
      <w:bookmarkEnd w:id="118"/>
      <w:bookmarkEnd w:id="119"/>
      <w:bookmarkEnd w:id="120"/>
      <w:bookmarkEnd w:id="121"/>
    </w:p>
    <w:p w14:paraId="618279BB">
      <w:pPr>
        <w:pStyle w:val="5"/>
        <w:pageBreakBefore w:val="0"/>
        <w:kinsoku/>
        <w:wordWrap/>
        <w:overflowPunct/>
        <w:topLinePunct w:val="0"/>
        <w:autoSpaceDE/>
        <w:autoSpaceDN/>
        <w:bidi w:val="0"/>
        <w:adjustRightInd/>
        <w:snapToGrid/>
        <w:spacing w:line="600" w:lineRule="exact"/>
        <w:ind w:firstLine="643"/>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lang w:eastAsia="zh-CN"/>
          <w14:textFill>
            <w14:solidFill>
              <w14:schemeClr w14:val="tx1"/>
            </w14:solidFill>
          </w14:textFill>
        </w:rPr>
        <w:t>一</w:t>
      </w:r>
      <w:r>
        <w:rPr>
          <w:rFonts w:hint="eastAsia" w:ascii="黑体" w:hAnsi="黑体" w:eastAsia="黑体" w:cs="黑体"/>
          <w:b w:val="0"/>
          <w:bCs w:val="0"/>
          <w:color w:val="000000" w:themeColor="text1"/>
          <w14:textFill>
            <w14:solidFill>
              <w14:schemeClr w14:val="tx1"/>
            </w14:solidFill>
          </w14:textFill>
        </w:rPr>
        <w:t>、</w:t>
      </w:r>
      <w:r>
        <w:rPr>
          <w:rFonts w:hint="eastAsia" w:ascii="黑体" w:hAnsi="黑体" w:eastAsia="黑体" w:cs="黑体"/>
          <w:b w:val="0"/>
          <w:bCs w:val="0"/>
          <w:color w:val="000000" w:themeColor="text1"/>
          <w:lang w:eastAsia="zh-CN"/>
          <w14:textFill>
            <w14:solidFill>
              <w14:schemeClr w14:val="tx1"/>
            </w14:solidFill>
          </w14:textFill>
        </w:rPr>
        <w:t>促进</w:t>
      </w:r>
      <w:r>
        <w:rPr>
          <w:rFonts w:hint="eastAsia" w:ascii="黑体" w:hAnsi="黑体" w:eastAsia="黑体" w:cs="黑体"/>
          <w:b w:val="0"/>
          <w:bCs w:val="0"/>
          <w:color w:val="000000" w:themeColor="text1"/>
          <w14:textFill>
            <w14:solidFill>
              <w14:schemeClr w14:val="tx1"/>
            </w14:solidFill>
          </w14:textFill>
        </w:rPr>
        <w:t>产业振兴</w:t>
      </w:r>
    </w:p>
    <w:p w14:paraId="2B8D1E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CN"/>
          <w14:textFill>
            <w14:solidFill>
              <w14:schemeClr w14:val="tx1"/>
            </w14:solidFill>
          </w14:textFill>
        </w:rPr>
        <w:t>引导乡村产业差异化发展。</w:t>
      </w:r>
      <w:r>
        <w:rPr>
          <w:rFonts w:hint="eastAsia" w:ascii="仿宋" w:hAnsi="仿宋" w:eastAsia="仿宋" w:cs="仿宋"/>
          <w:b w:val="0"/>
          <w:bCs/>
          <w:color w:val="000000" w:themeColor="text1"/>
          <w:sz w:val="32"/>
          <w:szCs w:val="32"/>
          <w:lang w:val="en-US" w:eastAsia="zh-CN"/>
          <w14:textFill>
            <w14:solidFill>
              <w14:schemeClr w14:val="tx1"/>
            </w14:solidFill>
          </w14:textFill>
        </w:rPr>
        <w:t>以创建国家农业现代化示范区为引领，着力提高农牧业产业体系、生产体系、经营体系现代化水平，</w:t>
      </w:r>
      <w:r>
        <w:rPr>
          <w:rFonts w:hint="eastAsia" w:eastAsia="仿宋_GB2312"/>
          <w:bCs/>
          <w:sz w:val="32"/>
          <w:szCs w:val="32"/>
        </w:rPr>
        <w:t>以乡村产业振兴示范嘎查村为样板，</w:t>
      </w:r>
      <w:r>
        <w:rPr>
          <w:rFonts w:hint="eastAsia" w:ascii="仿宋" w:hAnsi="仿宋" w:eastAsia="仿宋" w:cs="仿宋"/>
          <w:b w:val="0"/>
          <w:bCs/>
          <w:color w:val="000000" w:themeColor="text1"/>
          <w:sz w:val="32"/>
          <w:szCs w:val="32"/>
          <w:lang w:val="en-US" w:eastAsia="zh-CN"/>
          <w14:textFill>
            <w14:solidFill>
              <w14:schemeClr w14:val="tx1"/>
            </w14:solidFill>
          </w14:textFill>
        </w:rPr>
        <w:t>促进</w:t>
      </w:r>
      <w:r>
        <w:rPr>
          <w:rFonts w:hint="eastAsia" w:ascii="仿宋" w:hAnsi="仿宋" w:eastAsia="仿宋" w:cs="仿宋"/>
          <w:b w:val="0"/>
          <w:bCs/>
          <w:color w:val="000000" w:themeColor="text1"/>
          <w:sz w:val="32"/>
          <w:szCs w:val="32"/>
          <w14:textFill>
            <w14:solidFill>
              <w14:schemeClr w14:val="tx1"/>
            </w14:solidFill>
          </w14:textFill>
        </w:rPr>
        <w:t>各地因地制宜培育优势产业。</w:t>
      </w:r>
      <w:r>
        <w:rPr>
          <w:rFonts w:hint="eastAsia" w:ascii="仿宋" w:hAnsi="仿宋" w:eastAsia="仿宋" w:cs="仿宋"/>
          <w:bCs/>
          <w:color w:val="000000" w:themeColor="text1"/>
          <w:sz w:val="32"/>
          <w:szCs w:val="32"/>
          <w14:textFill>
            <w14:solidFill>
              <w14:schemeClr w14:val="tx1"/>
            </w14:solidFill>
          </w14:textFill>
        </w:rPr>
        <w:t>提升以好力保镇为核心、以水稻为主导产业的扎赉特旗国家现代农业产业园建设水平，创建数字农业试点旗。打造农旅休闲体验区，建设万亩“私人定制”认领基地和万顷“寻梦稻花源”融合景观，引入社会资本，建成“佳稻里”民宿度假村，</w:t>
      </w:r>
      <w:r>
        <w:rPr>
          <w:rFonts w:hint="eastAsia" w:ascii="仿宋" w:hAnsi="仿宋" w:eastAsia="仿宋" w:cs="仿宋"/>
          <w:bCs/>
          <w:color w:val="000000" w:themeColor="text1"/>
          <w:sz w:val="32"/>
          <w:szCs w:val="32"/>
          <w:lang w:val="en-US" w:eastAsia="zh-CN"/>
          <w14:textFill>
            <w14:solidFill>
              <w14:schemeClr w14:val="tx1"/>
            </w14:solidFill>
          </w14:textFill>
        </w:rPr>
        <w:t>实现</w:t>
      </w:r>
      <w:r>
        <w:rPr>
          <w:rFonts w:hint="eastAsia" w:ascii="仿宋" w:hAnsi="仿宋" w:eastAsia="仿宋" w:cs="仿宋"/>
          <w:bCs/>
          <w:color w:val="000000" w:themeColor="text1"/>
          <w:sz w:val="32"/>
          <w:szCs w:val="32"/>
          <w14:textFill>
            <w14:solidFill>
              <w14:schemeClr w14:val="tx1"/>
            </w14:solidFill>
          </w14:textFill>
        </w:rPr>
        <w:t>农区</w:t>
      </w:r>
      <w:r>
        <w:rPr>
          <w:rFonts w:hint="eastAsia" w:ascii="仿宋" w:hAnsi="仿宋" w:eastAsia="仿宋" w:cs="仿宋"/>
          <w:bCs/>
          <w:color w:val="000000" w:themeColor="text1"/>
          <w:sz w:val="32"/>
          <w:szCs w:val="32"/>
          <w:lang w:val="en-US" w:eastAsia="zh-CN"/>
          <w14:textFill>
            <w14:solidFill>
              <w14:schemeClr w14:val="tx1"/>
            </w14:solidFill>
          </w14:textFill>
        </w:rPr>
        <w:t>变</w:t>
      </w:r>
      <w:r>
        <w:rPr>
          <w:rFonts w:hint="eastAsia" w:ascii="仿宋" w:hAnsi="仿宋" w:eastAsia="仿宋" w:cs="仿宋"/>
          <w:bCs/>
          <w:color w:val="000000" w:themeColor="text1"/>
          <w:sz w:val="32"/>
          <w:szCs w:val="32"/>
          <w14:textFill>
            <w14:solidFill>
              <w14:schemeClr w14:val="tx1"/>
            </w14:solidFill>
          </w14:textFill>
        </w:rPr>
        <w:t>景区，田园</w:t>
      </w:r>
      <w:r>
        <w:rPr>
          <w:rFonts w:hint="eastAsia" w:ascii="仿宋" w:hAnsi="仿宋" w:eastAsia="仿宋" w:cs="仿宋"/>
          <w:bCs/>
          <w:color w:val="000000" w:themeColor="text1"/>
          <w:sz w:val="32"/>
          <w:szCs w:val="32"/>
          <w:lang w:val="en-US" w:eastAsia="zh-CN"/>
          <w14:textFill>
            <w14:solidFill>
              <w14:schemeClr w14:val="tx1"/>
            </w14:solidFill>
          </w14:textFill>
        </w:rPr>
        <w:t>变</w:t>
      </w:r>
      <w:r>
        <w:rPr>
          <w:rFonts w:hint="eastAsia" w:ascii="仿宋" w:hAnsi="仿宋" w:eastAsia="仿宋" w:cs="仿宋"/>
          <w:bCs/>
          <w:color w:val="000000" w:themeColor="text1"/>
          <w:sz w:val="32"/>
          <w:szCs w:val="32"/>
          <w14:textFill>
            <w14:solidFill>
              <w14:schemeClr w14:val="tx1"/>
            </w14:solidFill>
          </w14:textFill>
        </w:rPr>
        <w:t>公园。以新林镇为核心，建成东北地区最大的“道地药材”农村产业融合发展示范园，配套</w:t>
      </w:r>
      <w:r>
        <w:rPr>
          <w:rFonts w:hint="eastAsia" w:ascii="仿宋" w:hAnsi="仿宋" w:eastAsia="仿宋" w:cs="仿宋"/>
          <w:bCs/>
          <w:color w:val="000000" w:themeColor="text1"/>
          <w:sz w:val="32"/>
          <w:szCs w:val="32"/>
          <w:lang w:val="en-US" w:eastAsia="zh-CN"/>
          <w14:textFill>
            <w14:solidFill>
              <w14:schemeClr w14:val="tx1"/>
            </w14:solidFill>
          </w14:textFill>
        </w:rPr>
        <w:t>建设</w:t>
      </w:r>
      <w:r>
        <w:rPr>
          <w:rFonts w:hint="eastAsia" w:ascii="仿宋" w:hAnsi="仿宋" w:eastAsia="仿宋" w:cs="仿宋"/>
          <w:bCs/>
          <w:color w:val="000000" w:themeColor="text1"/>
          <w:sz w:val="32"/>
          <w:szCs w:val="32"/>
          <w14:textFill>
            <w14:solidFill>
              <w14:schemeClr w14:val="tx1"/>
            </w14:solidFill>
          </w14:textFill>
        </w:rPr>
        <w:t>中药材仓储中心、加工物流中心，打造以苍术、赤芍为主导产业的国家级标准道地药材生产基地和内蒙古蒙东地区道地药材交易集散中心。巴达尔胡镇、巴彦扎拉嘎乡打造肉牛养殖专业乡</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镇）</w:t>
      </w:r>
      <w:r>
        <w:rPr>
          <w:rFonts w:hint="eastAsia" w:ascii="仿宋" w:hAnsi="仿宋" w:eastAsia="仿宋" w:cs="仿宋"/>
          <w:bCs/>
          <w:color w:val="000000" w:themeColor="text1"/>
          <w:sz w:val="32"/>
          <w:szCs w:val="32"/>
          <w14:textFill>
            <w14:solidFill>
              <w14:schemeClr w14:val="tx1"/>
            </w14:solidFill>
          </w14:textFill>
        </w:rPr>
        <w:t>，巴彦高勒镇打造成为生猪养殖专业</w:t>
      </w:r>
      <w:r>
        <w:rPr>
          <w:rFonts w:hint="eastAsia" w:ascii="仿宋" w:hAnsi="仿宋" w:eastAsia="仿宋" w:cs="仿宋"/>
          <w:bCs/>
          <w:color w:val="000000" w:themeColor="text1"/>
          <w:sz w:val="32"/>
          <w:szCs w:val="32"/>
          <w:lang w:val="en-US" w:eastAsia="zh-CN"/>
          <w14:textFill>
            <w14:solidFill>
              <w14:schemeClr w14:val="tx1"/>
            </w14:solidFill>
          </w14:textFill>
        </w:rPr>
        <w:t>镇</w:t>
      </w:r>
      <w:r>
        <w:rPr>
          <w:rFonts w:hint="eastAsia" w:ascii="仿宋" w:hAnsi="仿宋" w:eastAsia="仿宋" w:cs="仿宋"/>
          <w:bCs/>
          <w:color w:val="000000" w:themeColor="text1"/>
          <w:sz w:val="32"/>
          <w:szCs w:val="32"/>
          <w14:textFill>
            <w14:solidFill>
              <w14:schemeClr w14:val="tx1"/>
            </w14:solidFill>
          </w14:textFill>
        </w:rPr>
        <w:t>，巴彦乌兰苏木打造成为特色旅游小镇和肉羊养殖专业乡，阿尔本格勒镇打造成为黑木耳种植专业乡，好力保镇、努文木仁乡打造成为水稻种植专业乡</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镇</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十四五</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期间，全旗</w:t>
      </w:r>
      <w:r>
        <w:rPr>
          <w:rFonts w:hint="eastAsia" w:ascii="仿宋" w:hAnsi="仿宋" w:eastAsia="仿宋" w:cs="仿宋"/>
          <w:bCs/>
          <w:color w:val="000000" w:themeColor="text1"/>
          <w:sz w:val="32"/>
          <w:szCs w:val="32"/>
          <w14:textFill>
            <w14:solidFill>
              <w14:schemeClr w14:val="tx1"/>
            </w14:solidFill>
          </w14:textFill>
        </w:rPr>
        <w:t>建设产业振兴示范村50个、特色产业专业村50个、庭院经济特色村60个。</w:t>
      </w:r>
    </w:p>
    <w:p w14:paraId="6DE2F3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CN"/>
          <w14:textFill>
            <w14:solidFill>
              <w14:schemeClr w14:val="tx1"/>
            </w14:solidFill>
          </w14:textFill>
        </w:rPr>
        <w:t>提高乡村新型经营主体竞争力。</w:t>
      </w:r>
      <w:r>
        <w:rPr>
          <w:rFonts w:hint="eastAsia" w:ascii="仿宋" w:hAnsi="仿宋" w:eastAsia="仿宋" w:cs="仿宋"/>
          <w:bCs/>
          <w:color w:val="000000" w:themeColor="text1"/>
          <w:sz w:val="32"/>
          <w:szCs w:val="32"/>
          <w14:textFill>
            <w14:solidFill>
              <w14:schemeClr w14:val="tx1"/>
            </w14:solidFill>
          </w14:textFill>
        </w:rPr>
        <w:t>推广“党组织+新型经营主体”模式，重点打造一批科技型、创新型农牧业龙头企业、合作社和家庭农场，</w:t>
      </w:r>
      <w:r>
        <w:rPr>
          <w:rFonts w:hint="eastAsia" w:ascii="仿宋" w:hAnsi="仿宋" w:eastAsia="仿宋" w:cs="仿宋"/>
          <w:bCs/>
          <w:color w:val="000000" w:themeColor="text1"/>
          <w:sz w:val="32"/>
          <w:szCs w:val="32"/>
          <w:lang w:val="en-US" w:eastAsia="zh-CN"/>
          <w14:textFill>
            <w14:solidFill>
              <w14:schemeClr w14:val="tx1"/>
            </w14:solidFill>
          </w14:textFill>
        </w:rPr>
        <w:t>促进</w:t>
      </w:r>
      <w:r>
        <w:rPr>
          <w:rFonts w:hint="eastAsia" w:ascii="仿宋" w:hAnsi="仿宋" w:eastAsia="仿宋" w:cs="仿宋"/>
          <w:bCs/>
          <w:color w:val="000000" w:themeColor="text1"/>
          <w:sz w:val="32"/>
          <w:szCs w:val="32"/>
          <w14:textFill>
            <w14:solidFill>
              <w14:schemeClr w14:val="tx1"/>
            </w14:solidFill>
          </w14:textFill>
        </w:rPr>
        <w:t>农牧民组织化。</w:t>
      </w:r>
      <w:r>
        <w:rPr>
          <w:rFonts w:hint="eastAsia" w:ascii="仿宋" w:hAnsi="仿宋" w:eastAsia="仿宋" w:cs="仿宋"/>
          <w:bCs/>
          <w:color w:val="000000" w:themeColor="text1"/>
          <w:sz w:val="32"/>
          <w:szCs w:val="32"/>
          <w:lang w:val="en-US" w:eastAsia="zh-CN"/>
          <w14:textFill>
            <w14:solidFill>
              <w14:schemeClr w14:val="tx1"/>
            </w14:solidFill>
          </w14:textFill>
        </w:rPr>
        <w:t>到2025年，</w:t>
      </w:r>
      <w:r>
        <w:rPr>
          <w:rFonts w:hint="eastAsia" w:ascii="仿宋" w:hAnsi="仿宋" w:eastAsia="仿宋" w:cs="仿宋"/>
          <w:bCs/>
          <w:color w:val="000000" w:themeColor="text1"/>
          <w:sz w:val="32"/>
          <w:szCs w:val="32"/>
          <w14:textFill>
            <w14:solidFill>
              <w14:schemeClr w14:val="tx1"/>
            </w14:solidFill>
          </w14:textFill>
        </w:rPr>
        <w:t>全旗农牧业产业化重点龙头企业达到45家，规范化运营合作社达到354家，其中，国家级示范社6家、自治区级示范社18家、盟级示范社25家，认定家庭农场总数600家，土地流转面积达到330万亩以上，规模化养殖比重达到70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w:t>
      </w:r>
    </w:p>
    <w:p w14:paraId="2160B085">
      <w:pPr>
        <w:pStyle w:val="5"/>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二、</w:t>
      </w:r>
      <w:r>
        <w:rPr>
          <w:rFonts w:hint="eastAsia" w:ascii="黑体" w:hAnsi="黑体" w:eastAsia="黑体" w:cs="黑体"/>
          <w:b w:val="0"/>
          <w:bCs w:val="0"/>
          <w:color w:val="000000" w:themeColor="text1"/>
          <w:lang w:eastAsia="zh-CN"/>
          <w14:textFill>
            <w14:solidFill>
              <w14:schemeClr w14:val="tx1"/>
            </w14:solidFill>
          </w14:textFill>
        </w:rPr>
        <w:t>促进</w:t>
      </w:r>
      <w:r>
        <w:rPr>
          <w:rFonts w:hint="eastAsia" w:ascii="黑体" w:hAnsi="黑体" w:eastAsia="黑体" w:cs="黑体"/>
          <w:b w:val="0"/>
          <w:bCs w:val="0"/>
          <w:color w:val="000000" w:themeColor="text1"/>
          <w14:textFill>
            <w14:solidFill>
              <w14:schemeClr w14:val="tx1"/>
            </w14:solidFill>
          </w14:textFill>
        </w:rPr>
        <w:t>人才振兴</w:t>
      </w:r>
    </w:p>
    <w:p w14:paraId="30A370E9">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建设技能培训和创业孵化一体的就业创业公共实训基地，培育高素质农牧民1500人次以上。培育乡土人才</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培养“土专家”“田秀才”等农村牧区实用人才达到2000人以上，培养各类科技特派员100人、农技推广骨干人才15名，培训乡村技能人才3000人次。</w:t>
      </w:r>
      <w:r>
        <w:rPr>
          <w:rFonts w:hint="eastAsia" w:ascii="仿宋" w:hAnsi="仿宋" w:eastAsia="仿宋" w:cs="仿宋"/>
          <w:bCs/>
          <w:color w:val="000000" w:themeColor="text1"/>
          <w:sz w:val="32"/>
          <w:szCs w:val="32"/>
          <w:lang w:val="en-US" w:eastAsia="zh-CN"/>
          <w14:textFill>
            <w14:solidFill>
              <w14:schemeClr w14:val="tx1"/>
            </w14:solidFill>
          </w14:textFill>
        </w:rPr>
        <w:t>加大</w:t>
      </w:r>
      <w:r>
        <w:rPr>
          <w:rFonts w:hint="eastAsia" w:ascii="仿宋" w:hAnsi="仿宋" w:eastAsia="仿宋" w:cs="仿宋"/>
          <w:bCs/>
          <w:color w:val="000000" w:themeColor="text1"/>
          <w:sz w:val="32"/>
          <w:szCs w:val="32"/>
          <w14:textFill>
            <w14:solidFill>
              <w14:schemeClr w14:val="tx1"/>
            </w14:solidFill>
          </w14:textFill>
        </w:rPr>
        <w:t>电商人才</w:t>
      </w:r>
      <w:r>
        <w:rPr>
          <w:rFonts w:hint="eastAsia" w:ascii="仿宋" w:hAnsi="仿宋" w:eastAsia="仿宋" w:cs="仿宋"/>
          <w:bCs/>
          <w:color w:val="000000" w:themeColor="text1"/>
          <w:sz w:val="32"/>
          <w:szCs w:val="32"/>
          <w:lang w:val="en-US" w:eastAsia="zh-CN"/>
          <w14:textFill>
            <w14:solidFill>
              <w14:schemeClr w14:val="tx1"/>
            </w14:solidFill>
          </w14:textFill>
        </w:rPr>
        <w:t>培育力度</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加强与阿里巴巴、抖音、快手、斗鱼等电商合作，培训3500人次以上。激励创业孵化，发展创业园和创业孵化基地5处，</w:t>
      </w:r>
      <w:r>
        <w:rPr>
          <w:rFonts w:hint="eastAsia" w:ascii="仿宋" w:hAnsi="仿宋" w:eastAsia="仿宋" w:cs="仿宋"/>
          <w:bCs/>
          <w:color w:val="000000" w:themeColor="text1"/>
          <w:sz w:val="32"/>
          <w:szCs w:val="32"/>
          <w:lang w:val="en-US" w:eastAsia="zh-CN"/>
          <w14:textFill>
            <w14:solidFill>
              <w14:schemeClr w14:val="tx1"/>
            </w14:solidFill>
          </w14:textFill>
        </w:rPr>
        <w:t>并</w:t>
      </w:r>
      <w:r>
        <w:rPr>
          <w:rFonts w:hint="eastAsia" w:ascii="仿宋" w:hAnsi="仿宋" w:eastAsia="仿宋" w:cs="仿宋"/>
          <w:bCs/>
          <w:color w:val="000000" w:themeColor="text1"/>
          <w:sz w:val="32"/>
          <w:szCs w:val="32"/>
          <w14:textFill>
            <w14:solidFill>
              <w14:schemeClr w14:val="tx1"/>
            </w14:solidFill>
          </w14:textFill>
        </w:rPr>
        <w:t>纳入就业创业“以奖代补”资金扶持范围，助推返乡农牧民成功创业，带动更多农村牧区劳动力就近就地就业。</w:t>
      </w:r>
    </w:p>
    <w:p w14:paraId="40F6E044">
      <w:pPr>
        <w:pStyle w:val="5"/>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三、</w:t>
      </w:r>
      <w:r>
        <w:rPr>
          <w:rFonts w:hint="eastAsia" w:ascii="黑体" w:hAnsi="黑体" w:eastAsia="黑体" w:cs="黑体"/>
          <w:b w:val="0"/>
          <w:bCs w:val="0"/>
          <w:color w:val="000000" w:themeColor="text1"/>
          <w:lang w:eastAsia="zh-CN"/>
          <w14:textFill>
            <w14:solidFill>
              <w14:schemeClr w14:val="tx1"/>
            </w14:solidFill>
          </w14:textFill>
        </w:rPr>
        <w:t>促进</w:t>
      </w:r>
      <w:r>
        <w:rPr>
          <w:rFonts w:hint="eastAsia" w:ascii="黑体" w:hAnsi="黑体" w:eastAsia="黑体" w:cs="黑体"/>
          <w:b w:val="0"/>
          <w:bCs w:val="0"/>
          <w:color w:val="000000" w:themeColor="text1"/>
          <w14:textFill>
            <w14:solidFill>
              <w14:schemeClr w14:val="tx1"/>
            </w14:solidFill>
          </w14:textFill>
        </w:rPr>
        <w:t>文化振兴</w:t>
      </w:r>
    </w:p>
    <w:p w14:paraId="2EA338BE">
      <w:pPr>
        <w:pageBreakBefore w:val="0"/>
        <w:kinsoku/>
        <w:wordWrap/>
        <w:overflowPunct/>
        <w:topLinePunct w:val="0"/>
        <w:autoSpaceDE/>
        <w:autoSpaceDN/>
        <w:bidi w:val="0"/>
        <w:adjustRightInd/>
        <w:snapToGrid/>
        <w:spacing w:line="600" w:lineRule="exact"/>
        <w:ind w:firstLine="640" w:firstLineChars="200"/>
        <w:jc w:val="both"/>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开展社会主义核心价值观“七进村”和致富圆梦“十进村”主题宣讲活动，进一步培树“身边好人”“道德模范”“北疆楷模”“尽责圆梦践行者”先进典型，充分发挥“新时代文明实践讲堂”作用。开展农村牧区“好乡风、好民风、好家风、好家训”宣传引导活动，培育社会主义核心价值观</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广泛开展新时代农牧民素质提升“千村示范、万村行动”，实现农牧民素质提升示范嘎查村比例全面提升。深入开展“一学、两建、三带、五改、五提升”活动，提升农牧民思想觉悟和民族团结意识、孝老爱亲和诚实守信意识、创业致富和拼搏奋斗意识、科学文化素养和卫生健康意识、生态文明和环境保护意识。加大文明村镇创建力度，全旗旗级以上文明苏木乡镇和嘎查村比例达到50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以上。</w:t>
      </w:r>
    </w:p>
    <w:p w14:paraId="45E35D83">
      <w:pPr>
        <w:pStyle w:val="5"/>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四、</w:t>
      </w:r>
      <w:r>
        <w:rPr>
          <w:rFonts w:hint="eastAsia" w:ascii="黑体" w:hAnsi="黑体" w:eastAsia="黑体" w:cs="黑体"/>
          <w:b w:val="0"/>
          <w:bCs w:val="0"/>
          <w:color w:val="000000" w:themeColor="text1"/>
          <w:lang w:eastAsia="zh-CN"/>
          <w14:textFill>
            <w14:solidFill>
              <w14:schemeClr w14:val="tx1"/>
            </w14:solidFill>
          </w14:textFill>
        </w:rPr>
        <w:t>促进</w:t>
      </w:r>
      <w:r>
        <w:rPr>
          <w:rFonts w:hint="eastAsia" w:ascii="黑体" w:hAnsi="黑体" w:eastAsia="黑体" w:cs="黑体"/>
          <w:b w:val="0"/>
          <w:bCs w:val="0"/>
          <w:color w:val="000000" w:themeColor="text1"/>
          <w14:textFill>
            <w14:solidFill>
              <w14:schemeClr w14:val="tx1"/>
            </w14:solidFill>
          </w14:textFill>
        </w:rPr>
        <w:t>生态振兴</w:t>
      </w:r>
    </w:p>
    <w:p w14:paraId="216F53DE">
      <w:pPr>
        <w:pageBreakBefore w:val="0"/>
        <w:kinsoku/>
        <w:wordWrap/>
        <w:overflowPunct/>
        <w:topLinePunct w:val="0"/>
        <w:autoSpaceDE/>
        <w:autoSpaceDN/>
        <w:bidi w:val="0"/>
        <w:adjustRightInd/>
        <w:snapToGrid/>
        <w:spacing w:line="600" w:lineRule="exact"/>
        <w:ind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深入推进农村牧区人居环境整治。</w:t>
      </w:r>
      <w:r>
        <w:rPr>
          <w:rFonts w:hint="eastAsia" w:ascii="仿宋" w:hAnsi="仿宋" w:eastAsia="仿宋" w:cs="仿宋"/>
          <w:color w:val="000000" w:themeColor="text1"/>
          <w:sz w:val="32"/>
          <w:szCs w:val="32"/>
          <w14:textFill>
            <w14:solidFill>
              <w14:schemeClr w14:val="tx1"/>
            </w14:solidFill>
          </w14:textFill>
        </w:rPr>
        <w:t>着力提升乡村绿化美化水平，建成森林小镇6个、森林村庄90个。大力推进“厕所革命”，建成3.5万个卫生厕所，农村牧区卫生厕所比例达到常住户的70%以上。完成2个农村牧区生活污水处理项目试点建设。利用光伏扶贫电站收益资金加快垃圾站建设，实现全旗693个村屯均建成垃圾收集点和清洁设施，</w:t>
      </w:r>
      <w:r>
        <w:rPr>
          <w:rFonts w:hint="eastAsia" w:ascii="仿宋" w:hAnsi="仿宋" w:eastAsia="仿宋" w:cs="仿宋"/>
          <w:color w:val="000000" w:themeColor="text1"/>
          <w:sz w:val="32"/>
          <w:szCs w:val="32"/>
          <w:lang w:val="en-US" w:eastAsia="zh-CN"/>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巴彦高勒镇、胡尔勒镇、新林镇、图牧吉镇、巴达尔胡镇、阿尔本格勒镇、努文木仁乡无害化垃圾焚烧场。开发保洁员、护林员、护水员等公益性岗位5070</w:t>
      </w:r>
      <w:r>
        <w:rPr>
          <w:rFonts w:hint="eastAsia" w:ascii="仿宋" w:hAnsi="仿宋" w:eastAsia="仿宋" w:cs="仿宋"/>
          <w:color w:val="000000" w:themeColor="text1"/>
          <w:sz w:val="32"/>
          <w:szCs w:val="32"/>
          <w:lang w:val="en-US" w:eastAsia="zh-CN"/>
          <w14:textFill>
            <w14:solidFill>
              <w14:schemeClr w14:val="tx1"/>
            </w14:solidFill>
          </w14:textFill>
        </w:rPr>
        <w:t>个</w:t>
      </w:r>
      <w:r>
        <w:rPr>
          <w:rFonts w:hint="eastAsia" w:ascii="仿宋" w:hAnsi="仿宋" w:eastAsia="仿宋" w:cs="仿宋"/>
          <w:color w:val="000000" w:themeColor="text1"/>
          <w:sz w:val="32"/>
          <w:szCs w:val="32"/>
          <w14:textFill>
            <w14:solidFill>
              <w14:schemeClr w14:val="tx1"/>
            </w14:solidFill>
          </w14:textFill>
        </w:rPr>
        <w:t>。开展“美丽庭院”示范创建活动，争创20个示范村、3500户以上示范户。</w:t>
      </w:r>
    </w:p>
    <w:p w14:paraId="4114B224">
      <w:pPr>
        <w:pStyle w:val="2"/>
        <w:ind w:firstLine="643"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深入实施农牧业“增、减、消、禁”治理。</w:t>
      </w:r>
      <w:r>
        <w:rPr>
          <w:rFonts w:hint="eastAsia" w:ascii="仿宋" w:hAnsi="仿宋" w:eastAsia="仿宋" w:cs="仿宋"/>
          <w:color w:val="000000" w:themeColor="text1"/>
          <w:kern w:val="2"/>
          <w:sz w:val="32"/>
          <w:szCs w:val="32"/>
          <w:lang w:val="en-US" w:eastAsia="zh-CN" w:bidi="ar-SA"/>
          <w14:textFill>
            <w14:solidFill>
              <w14:schemeClr w14:val="tx1"/>
            </w14:solidFill>
          </w14:textFill>
        </w:rPr>
        <w:t>大力扩增生态农业规模，实施耕地质量提升项目，全旗有机肥、农家肥施用面积达到80万亩；新建高标准农田28万亩，总面积达到180万亩。全面减少农药、化肥使用量，示范嘎查村测土配方施肥技术覆盖率达到90%，农作物统防统治覆盖率达到60%以上，实施生物防控50万亩。着力消除农牧业废弃物污染，农作物秸秆综合利用率达到90%以上，农膜回收率稳定在90%以上，实现畜禽粪污综合利用率达到75%以上，规模养殖场粪污处理设施装备配套率达到90%以上。全面开展禁牧、禁渔、禁猎、禁烧、禁违建、禁采挖、禁林间高秆作物“七禁行动”，严厉查处各类涉林涉草案件，确保环境改善、生态安全。</w:t>
      </w:r>
    </w:p>
    <w:p w14:paraId="0385CF1A">
      <w:pPr>
        <w:pageBreakBefore w:val="0"/>
        <w:kinsoku/>
        <w:wordWrap/>
        <w:overflowPunct/>
        <w:topLinePunct w:val="0"/>
        <w:autoSpaceDE/>
        <w:autoSpaceDN/>
        <w:bidi w:val="0"/>
        <w:adjustRightInd/>
        <w:snapToGrid/>
        <w:spacing w:line="600" w:lineRule="exact"/>
        <w:ind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黑体" w:hAnsi="黑体" w:eastAsia="黑体" w:cs="黑体"/>
          <w:color w:val="000000" w:themeColor="text1"/>
          <w:sz w:val="32"/>
          <w:szCs w:val="32"/>
          <w:lang w:eastAsia="zh-CN"/>
          <w14:textFill>
            <w14:solidFill>
              <w14:schemeClr w14:val="tx1"/>
            </w14:solidFill>
          </w14:textFill>
        </w:rPr>
        <w:t>促进</w:t>
      </w:r>
      <w:r>
        <w:rPr>
          <w:rFonts w:hint="eastAsia" w:ascii="黑体" w:hAnsi="黑体" w:eastAsia="黑体" w:cs="黑体"/>
          <w:color w:val="000000" w:themeColor="text1"/>
          <w:sz w:val="32"/>
          <w:szCs w:val="32"/>
          <w14:textFill>
            <w14:solidFill>
              <w14:schemeClr w14:val="tx1"/>
            </w14:solidFill>
          </w14:textFill>
        </w:rPr>
        <w:t>组织振兴</w:t>
      </w:r>
    </w:p>
    <w:p w14:paraId="395E17C9">
      <w:pPr>
        <w:pStyle w:val="12"/>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b/>
          <w:bCs/>
          <w:color w:val="000000" w:themeColor="text1"/>
          <w:sz w:val="32"/>
          <w14:textFill>
            <w14:solidFill>
              <w14:schemeClr w14:val="tx1"/>
            </w14:solidFill>
          </w14:textFill>
        </w:rPr>
        <w:t>发展壮大嘎查村集体经济。</w:t>
      </w:r>
      <w:r>
        <w:rPr>
          <w:rFonts w:hint="eastAsia" w:ascii="仿宋" w:hAnsi="仿宋" w:eastAsia="仿宋" w:cs="仿宋"/>
          <w:color w:val="000000" w:themeColor="text1"/>
          <w:sz w:val="32"/>
          <w14:textFill>
            <w14:solidFill>
              <w14:schemeClr w14:val="tx1"/>
            </w14:solidFill>
          </w14:textFill>
        </w:rPr>
        <w:t>探索多种发展模式，实现全旗所有嘎查村集体经济收入稳定在20万元以上。探索强村带弱村、村企共建、强强联合等多种形式，组建集体经济联合体，培育一批典型嘎查村，发挥示范作用。</w:t>
      </w:r>
    </w:p>
    <w:p w14:paraId="2BF151B5">
      <w:pPr>
        <w:pStyle w:val="12"/>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b/>
          <w:bCs/>
          <w:color w:val="000000" w:themeColor="text1"/>
          <w:sz w:val="32"/>
          <w14:textFill>
            <w14:solidFill>
              <w14:schemeClr w14:val="tx1"/>
            </w14:solidFill>
          </w14:textFill>
        </w:rPr>
        <w:t>提升嘎查村党组织队伍素质。</w:t>
      </w:r>
      <w:r>
        <w:rPr>
          <w:rFonts w:hint="eastAsia" w:ascii="仿宋" w:hAnsi="仿宋" w:eastAsia="仿宋" w:cs="仿宋"/>
          <w:color w:val="000000" w:themeColor="text1"/>
          <w:sz w:val="32"/>
          <w14:textFill>
            <w14:solidFill>
              <w14:schemeClr w14:val="tx1"/>
            </w14:solidFill>
          </w14:textFill>
        </w:rPr>
        <w:t>发挥乡土人才孵化中心作用，结合嘎查村“两委”换届和工作需要，从致富能手、外出经商、大学毕业生、复员军人优秀党员中培养选拔嘎查村党组织书记；全面推行嘎查村党组织书记、主任“一肩挑”，实行规范化管理。</w:t>
      </w:r>
      <w:r>
        <w:rPr>
          <w:rFonts w:hint="eastAsia" w:ascii="仿宋" w:hAnsi="仿宋" w:eastAsia="仿宋" w:cs="仿宋"/>
          <w:color w:val="000000" w:themeColor="text1"/>
          <w:sz w:val="32"/>
          <w:lang w:eastAsia="zh-CN"/>
          <w14:textFill>
            <w14:solidFill>
              <w14:schemeClr w14:val="tx1"/>
            </w14:solidFill>
          </w14:textFill>
        </w:rPr>
        <w:t>根据上级有关政策，落实嘎查村“两委”离任待遇；</w:t>
      </w:r>
      <w:r>
        <w:rPr>
          <w:rFonts w:hint="eastAsia" w:ascii="仿宋" w:hAnsi="仿宋" w:eastAsia="仿宋" w:cs="仿宋"/>
          <w:color w:val="000000" w:themeColor="text1"/>
          <w:sz w:val="32"/>
          <w14:textFill>
            <w14:solidFill>
              <w14:schemeClr w14:val="tx1"/>
            </w14:solidFill>
          </w14:textFill>
        </w:rPr>
        <w:t>深入开展“十星级”嘎查村党组织创建、评选，选树过硬嘎查村党组织典型。</w:t>
      </w:r>
    </w:p>
    <w:p w14:paraId="46C8C8CE">
      <w:pPr>
        <w:pStyle w:val="12"/>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baseline"/>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b/>
          <w:bCs/>
          <w:color w:val="000000" w:themeColor="text1"/>
          <w:sz w:val="32"/>
          <w14:textFill>
            <w14:solidFill>
              <w14:schemeClr w14:val="tx1"/>
            </w14:solidFill>
          </w14:textFill>
        </w:rPr>
        <w:t>凝聚基层社会治理合力。</w:t>
      </w:r>
      <w:r>
        <w:rPr>
          <w:rFonts w:hint="eastAsia" w:ascii="仿宋" w:hAnsi="仿宋" w:eastAsia="仿宋" w:cs="仿宋"/>
          <w:color w:val="000000" w:themeColor="text1"/>
          <w:sz w:val="32"/>
          <w14:textFill>
            <w14:solidFill>
              <w14:schemeClr w14:val="tx1"/>
            </w14:solidFill>
          </w14:textFill>
        </w:rPr>
        <w:t>规范建设旗、乡、村三级党群服务中心，</w:t>
      </w:r>
      <w:r>
        <w:rPr>
          <w:rFonts w:hint="eastAsia" w:ascii="仿宋" w:hAnsi="仿宋" w:eastAsia="仿宋" w:cs="仿宋"/>
          <w:color w:val="000000" w:themeColor="text1"/>
          <w:sz w:val="32"/>
          <w:lang w:val="en-US" w:eastAsia="zh-CN"/>
          <w14:textFill>
            <w14:solidFill>
              <w14:schemeClr w14:val="tx1"/>
            </w14:solidFill>
          </w14:textFill>
        </w:rPr>
        <w:t>改善办公环境，</w:t>
      </w:r>
      <w:r>
        <w:rPr>
          <w:rFonts w:hint="eastAsia" w:ascii="仿宋" w:hAnsi="仿宋" w:eastAsia="仿宋" w:cs="仿宋"/>
          <w:color w:val="000000" w:themeColor="text1"/>
          <w:sz w:val="32"/>
          <w14:textFill>
            <w14:solidFill>
              <w14:schemeClr w14:val="tx1"/>
            </w14:solidFill>
          </w14:textFill>
        </w:rPr>
        <w:t>推动“党建网格化管理、党群服务中心和党群连心桥平台建设”三个全覆盖，建立健全党员联系服务群众和党组织解决群众诉求机制</w:t>
      </w:r>
      <w:r>
        <w:rPr>
          <w:rFonts w:hint="eastAsia" w:ascii="仿宋" w:hAnsi="仿宋" w:eastAsia="仿宋" w:cs="仿宋"/>
          <w:color w:val="000000" w:themeColor="text1"/>
          <w:sz w:val="32"/>
          <w:lang w:eastAsia="zh-CN"/>
          <w14:textFill>
            <w14:solidFill>
              <w14:schemeClr w14:val="tx1"/>
            </w14:solidFill>
          </w14:textFill>
        </w:rPr>
        <w:t>，</w:t>
      </w:r>
      <w:r>
        <w:rPr>
          <w:rFonts w:hint="eastAsia"/>
          <w:sz w:val="32"/>
        </w:rPr>
        <w:t>推动党建网格员、综治网格员、宗教网格员、意识形态网格员、残协委员、劳动保障协理员、民政协理员、儿童主任“八网合一”，建立“全科网格”。</w:t>
      </w:r>
      <w:r>
        <w:rPr>
          <w:rFonts w:hint="eastAsia" w:ascii="仿宋" w:hAnsi="仿宋" w:eastAsia="仿宋" w:cs="仿宋"/>
          <w:color w:val="000000" w:themeColor="text1"/>
          <w:sz w:val="32"/>
          <w14:textFill>
            <w14:solidFill>
              <w14:schemeClr w14:val="tx1"/>
            </w14:solidFill>
          </w14:textFill>
        </w:rPr>
        <w:t>健全完善村民议事会、道德评议会、禁赌禁毒会、红白理事会等群众自治组织，加强村民自治管理，培育文明乡风、良好家风、淳朴民风。</w:t>
      </w:r>
    </w:p>
    <w:p w14:paraId="335FC3F1">
      <w:pPr>
        <w:keepNext/>
        <w:keepLines/>
        <w:widowControl w:val="0"/>
        <w:spacing w:line="360" w:lineRule="auto"/>
        <w:ind w:firstLine="643" w:firstLineChars="200"/>
        <w:jc w:val="both"/>
        <w:outlineLvl w:val="2"/>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六、巩固拓展脱贫攻坚成果同乡村振兴有效衔接</w:t>
      </w:r>
    </w:p>
    <w:p w14:paraId="184C56B6">
      <w:pPr>
        <w:spacing w:line="360" w:lineRule="auto"/>
        <w:ind w:firstLine="640"/>
        <w:jc w:val="both"/>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持续巩固脱贫攻坚成果。</w:t>
      </w:r>
      <w:r>
        <w:rPr>
          <w:rFonts w:hint="eastAsia" w:ascii="Times New Roman" w:hAnsi="Times New Roman" w:eastAsia="仿宋_GB2312" w:cs="Times New Roman"/>
          <w:kern w:val="0"/>
          <w:sz w:val="32"/>
          <w:szCs w:val="32"/>
        </w:rPr>
        <w:t>健全防止返贫监测和帮扶机制，对脱贫不稳定户、边缘易致贫户开展常态化监测预警，建立健全快速发现和响应机制，及时纳入帮扶政策范围。做好易地扶贫搬迁后续帮扶工作，加强就业产业扶持和后续配套设施建设。加强扶贫项目资金资产管理和监督，推动特色产业可持续发展，注重扶贫产业长期培育，扩大支持对象，延长产业链条。</w:t>
      </w:r>
    </w:p>
    <w:p w14:paraId="4AFFBB28">
      <w:pPr>
        <w:spacing w:line="360" w:lineRule="auto"/>
        <w:ind w:firstLine="64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接续</w:t>
      </w:r>
      <w:r>
        <w:rPr>
          <w:rFonts w:hint="eastAsia" w:ascii="Times New Roman" w:hAnsi="Times New Roman" w:eastAsia="仿宋_GB2312" w:cs="Times New Roman"/>
          <w:b/>
          <w:bCs/>
          <w:kern w:val="0"/>
          <w:sz w:val="32"/>
          <w:szCs w:val="32"/>
        </w:rPr>
        <w:t>推进脱贫地区乡村全面振兴。</w:t>
      </w:r>
      <w:r>
        <w:rPr>
          <w:rFonts w:hint="eastAsia" w:ascii="Times New Roman" w:hAnsi="Times New Roman" w:eastAsia="仿宋_GB2312" w:cs="Times New Roman"/>
          <w:kern w:val="0"/>
          <w:sz w:val="32"/>
          <w:szCs w:val="32"/>
        </w:rPr>
        <w:t>保持财政投入力度总体稳定，对乡村振兴重点帮扶</w:t>
      </w:r>
      <w:r>
        <w:rPr>
          <w:rFonts w:ascii="Times New Roman" w:hAnsi="Times New Roman" w:eastAsia="仿宋_GB2312" w:cs="Times New Roman"/>
          <w:kern w:val="0"/>
          <w:sz w:val="32"/>
          <w:szCs w:val="32"/>
        </w:rPr>
        <w:t>苏木镇</w:t>
      </w:r>
      <w:r>
        <w:rPr>
          <w:rFonts w:hint="eastAsia" w:ascii="Times New Roman" w:hAnsi="Times New Roman" w:eastAsia="仿宋_GB2312" w:cs="Times New Roman"/>
          <w:kern w:val="0"/>
          <w:sz w:val="32"/>
          <w:szCs w:val="32"/>
        </w:rPr>
        <w:t>给予集中支持，增强内生发展能力。完善对口支援、社会力量参与帮扶等机制，优化结对帮扶关系和协作帮扶方式。健全农牧区社会保障和救助制度，以现有社会救助和社会保障体系为基础，健全农村</w:t>
      </w:r>
      <w:r>
        <w:rPr>
          <w:rFonts w:ascii="Times New Roman" w:hAnsi="Times New Roman" w:eastAsia="仿宋_GB2312" w:cs="Times New Roman"/>
          <w:kern w:val="0"/>
          <w:sz w:val="32"/>
          <w:szCs w:val="32"/>
        </w:rPr>
        <w:t>牧区</w:t>
      </w:r>
      <w:r>
        <w:rPr>
          <w:rFonts w:hint="eastAsia" w:ascii="Times New Roman" w:hAnsi="Times New Roman" w:eastAsia="仿宋_GB2312" w:cs="Times New Roman"/>
          <w:kern w:val="0"/>
          <w:sz w:val="32"/>
          <w:szCs w:val="32"/>
        </w:rPr>
        <w:t>低收入人口分类帮扶机制。加强农业创业支持平台建设，设立农业创业引导基金</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建立返乡人才创业小额贷款机制，实施创业补贴与贷款贴息政策，支持科技人员、工商业主、新乡贤、高校毕业生、退役士兵等群体下乡返乡创业创新。深入推行科技特派员制度，引导科技、信息、资金、管理等现代生产要素向农村集聚。</w:t>
      </w:r>
    </w:p>
    <w:p w14:paraId="293C155F">
      <w:pPr>
        <w:pStyle w:val="2"/>
        <w:rPr>
          <w:rFonts w:hint="eastAsia"/>
        </w:rPr>
      </w:pPr>
    </w:p>
    <w:p w14:paraId="281FC511">
      <w:pPr>
        <w:pStyle w:val="1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center"/>
        <w:textAlignment w:val="baseline"/>
        <w:outlineLvl w:val="1"/>
        <w:rPr>
          <w:rFonts w:hint="eastAsia" w:ascii="仿宋" w:hAnsi="仿宋" w:eastAsia="仿宋" w:cs="仿宋"/>
          <w:b/>
          <w:bCs/>
          <w:color w:val="000000" w:themeColor="text1"/>
          <w:sz w:val="32"/>
          <w14:textFill>
            <w14:solidFill>
              <w14:schemeClr w14:val="tx1"/>
            </w14:solidFill>
          </w14:textFill>
        </w:rPr>
      </w:pPr>
      <w:bookmarkStart w:id="122" w:name="_Toc3164"/>
      <w:bookmarkStart w:id="123" w:name="_Toc21079"/>
      <w:bookmarkStart w:id="124" w:name="_Toc13273"/>
    </w:p>
    <w:p w14:paraId="1EF5744D">
      <w:pPr>
        <w:pStyle w:val="1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center"/>
        <w:textAlignment w:val="baseline"/>
        <w:outlineLvl w:val="1"/>
        <w:rPr>
          <w:rFonts w:hint="eastAsia" w:ascii="仿宋" w:hAnsi="仿宋" w:eastAsia="仿宋" w:cs="仿宋"/>
          <w:b/>
          <w:bCs/>
          <w:color w:val="000000" w:themeColor="text1"/>
          <w:sz w:val="32"/>
          <w14:textFill>
            <w14:solidFill>
              <w14:schemeClr w14:val="tx1"/>
            </w14:solidFill>
          </w14:textFill>
        </w:rPr>
      </w:pPr>
    </w:p>
    <w:p w14:paraId="53959198">
      <w:pPr>
        <w:pStyle w:val="1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center"/>
        <w:textAlignment w:val="baseline"/>
        <w:outlineLvl w:val="1"/>
        <w:rPr>
          <w:rFonts w:hint="eastAsia" w:ascii="仿宋" w:hAnsi="仿宋" w:eastAsia="仿宋" w:cs="仿宋"/>
          <w:b/>
          <w:bCs/>
          <w:color w:val="000000" w:themeColor="text1"/>
          <w:sz w:val="32"/>
          <w14:textFill>
            <w14:solidFill>
              <w14:schemeClr w14:val="tx1"/>
            </w14:solidFill>
          </w14:textFill>
        </w:rPr>
      </w:pPr>
      <w:r>
        <w:rPr>
          <w:rFonts w:hint="eastAsia" w:ascii="仿宋" w:hAnsi="仿宋" w:eastAsia="仿宋" w:cs="仿宋"/>
          <w:b/>
          <w:bCs/>
          <w:color w:val="000000" w:themeColor="text1"/>
          <w:sz w:val="32"/>
          <w14:textFill>
            <w14:solidFill>
              <w14:schemeClr w14:val="tx1"/>
            </w14:solidFill>
          </w14:textFill>
        </w:rPr>
        <w:t>第四节　推进水库移民搬迁安置</w:t>
      </w:r>
      <w:bookmarkEnd w:id="122"/>
      <w:bookmarkEnd w:id="123"/>
      <w:bookmarkEnd w:id="124"/>
    </w:p>
    <w:p w14:paraId="71686682">
      <w:pPr>
        <w:pageBreakBefore w:val="0"/>
        <w:kinsoku/>
        <w:wordWrap/>
        <w:overflowPunct/>
        <w:topLinePunct w:val="0"/>
        <w:autoSpaceDE/>
        <w:autoSpaceDN/>
        <w:bidi w:val="0"/>
        <w:adjustRightInd/>
        <w:snapToGrid/>
        <w:spacing w:line="60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编制引绰济辽工程文得根水库移民后期扶持的总体规划。完成巴彦乌兰集镇、国营种畜场集镇及4个农村安置点基础设施、移民房屋建设，同步推进基本口粮田、配套水利设施、交通、电力、通信等公共基础设施步伐，统筹协调经济发展、生态建设、环境保护、旅游开发和社会治理，坚持以人民为中心理念，做好移民安置与后续产业扶持跟进、促进乡村振兴有效衔接，探索形成适合本地特色的水库移民搬迁安置新经验，确保安置区居民安居乐业。</w:t>
      </w:r>
    </w:p>
    <w:p w14:paraId="45B38A52">
      <w:pPr>
        <w:pStyle w:val="2"/>
        <w:rPr>
          <w:rFonts w:hint="eastAsia" w:ascii="仿宋" w:hAnsi="仿宋" w:eastAsia="仿宋" w:cs="仿宋"/>
          <w:color w:val="000000" w:themeColor="text1"/>
          <w:sz w:val="32"/>
          <w:szCs w:val="32"/>
          <w14:textFill>
            <w14:solidFill>
              <w14:schemeClr w14:val="tx1"/>
            </w14:solidFill>
          </w14:textFill>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12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22" w:type="dxa"/>
          </w:tcPr>
          <w:p w14:paraId="04FEF8E9">
            <w:pPr>
              <w:widowControl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w:t>
            </w: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7</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 “十四五”</w:t>
            </w:r>
            <w:r>
              <w:rPr>
                <w:rFonts w:hint="eastAsia" w:ascii="方正小标宋简体" w:hAnsi="方正小标宋简体" w:eastAsia="方正小标宋简体" w:cs="方正小标宋简体"/>
                <w:b/>
                <w:bCs/>
                <w:color w:val="000000" w:themeColor="text1"/>
                <w:sz w:val="32"/>
                <w:szCs w:val="32"/>
                <w:lang w:eastAsia="zh-CN"/>
                <w14:textFill>
                  <w14:solidFill>
                    <w14:schemeClr w14:val="tx1"/>
                  </w14:solidFill>
                </w14:textFill>
              </w:rPr>
              <w:t>乡村振兴重点</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建设项目</w:t>
            </w:r>
          </w:p>
        </w:tc>
      </w:tr>
      <w:tr w14:paraId="32ED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3BA1A814">
            <w:pPr>
              <w:widowControl w:val="0"/>
              <w:spacing w:line="360" w:lineRule="auto"/>
              <w:jc w:val="both"/>
              <w:rPr>
                <w:rFonts w:hint="eastAsia"/>
                <w:lang w:val="en-US" w:eastAsia="zh-CN"/>
              </w:rPr>
            </w:pPr>
            <w:r>
              <w:rPr>
                <w:rFonts w:hint="eastAsia"/>
                <w:lang w:val="en-US" w:eastAsia="zh-CN"/>
              </w:rPr>
              <w:t>1.建设万亩“私人定制”认领基地和万顷“寻梦稻花源”融合景观。</w:t>
            </w:r>
          </w:p>
          <w:p w14:paraId="43560AF3">
            <w:pPr>
              <w:widowControl w:val="0"/>
              <w:spacing w:line="360" w:lineRule="auto"/>
              <w:jc w:val="both"/>
              <w:rPr>
                <w:rFonts w:hint="eastAsia" w:eastAsiaTheme="minorEastAsia"/>
                <w:lang w:val="en-US" w:eastAsia="zh-CN"/>
              </w:rPr>
            </w:pPr>
            <w:r>
              <w:rPr>
                <w:rFonts w:hint="eastAsia"/>
                <w:lang w:val="en-US" w:eastAsia="zh-CN"/>
              </w:rPr>
              <w:t>2.</w:t>
            </w:r>
            <w:r>
              <w:rPr>
                <w:rFonts w:hint="eastAsia"/>
              </w:rPr>
              <w:t>建</w:t>
            </w:r>
            <w:r>
              <w:rPr>
                <w:rFonts w:hint="eastAsia"/>
                <w:lang w:eastAsia="zh-CN"/>
              </w:rPr>
              <w:t>设</w:t>
            </w:r>
            <w:r>
              <w:rPr>
                <w:rFonts w:hint="eastAsia"/>
              </w:rPr>
              <w:t>“佳稻里”民宿度假村</w:t>
            </w:r>
            <w:r>
              <w:rPr>
                <w:rFonts w:hint="eastAsia"/>
                <w:lang w:eastAsia="zh-CN"/>
              </w:rPr>
              <w:t>。</w:t>
            </w:r>
          </w:p>
          <w:p w14:paraId="250BB309">
            <w:pPr>
              <w:widowControl w:val="0"/>
              <w:spacing w:line="360" w:lineRule="auto"/>
              <w:jc w:val="both"/>
              <w:rPr>
                <w:rFonts w:hint="eastAsia" w:eastAsiaTheme="minorEastAsia"/>
                <w:lang w:val="en-US" w:eastAsia="zh-CN"/>
              </w:rPr>
            </w:pPr>
            <w:r>
              <w:rPr>
                <w:rFonts w:hint="eastAsia"/>
                <w:lang w:val="en-US" w:eastAsia="zh-CN"/>
              </w:rPr>
              <w:t>3.</w:t>
            </w:r>
            <w:r>
              <w:rPr>
                <w:rFonts w:hint="eastAsia"/>
              </w:rPr>
              <w:t>建</w:t>
            </w:r>
            <w:r>
              <w:rPr>
                <w:rFonts w:hint="eastAsia"/>
                <w:lang w:eastAsia="zh-CN"/>
              </w:rPr>
              <w:t>设</w:t>
            </w:r>
            <w:r>
              <w:rPr>
                <w:rFonts w:hint="eastAsia"/>
              </w:rPr>
              <w:t>东北地区最大的“道地药材”农村产业融合发展示范园</w:t>
            </w:r>
            <w:r>
              <w:rPr>
                <w:rFonts w:hint="eastAsia"/>
                <w:lang w:eastAsia="zh-CN"/>
              </w:rPr>
              <w:t>。</w:t>
            </w:r>
          </w:p>
          <w:p w14:paraId="1CBCDA8E">
            <w:pPr>
              <w:widowControl w:val="0"/>
              <w:spacing w:line="360" w:lineRule="auto"/>
              <w:jc w:val="both"/>
              <w:rPr>
                <w:rFonts w:hint="eastAsia" w:eastAsiaTheme="minorEastAsia"/>
                <w:lang w:eastAsia="zh-CN"/>
              </w:rPr>
            </w:pPr>
            <w:r>
              <w:rPr>
                <w:rFonts w:hint="eastAsia"/>
                <w:lang w:val="en-US" w:eastAsia="zh-CN"/>
              </w:rPr>
              <w:t>4.</w:t>
            </w:r>
            <w:r>
              <w:rPr>
                <w:rFonts w:hint="eastAsia"/>
              </w:rPr>
              <w:t>建设产业振兴示范村50个、特色产业专业村50个、庭院经济特色村60个</w:t>
            </w:r>
            <w:r>
              <w:rPr>
                <w:rFonts w:hint="eastAsia"/>
                <w:lang w:eastAsia="zh-CN"/>
              </w:rPr>
              <w:t>。</w:t>
            </w:r>
          </w:p>
          <w:p w14:paraId="6924B360">
            <w:pPr>
              <w:pStyle w:val="2"/>
              <w:jc w:val="both"/>
              <w:rPr>
                <w:rFonts w:hint="default" w:eastAsia="仿宋"/>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5.农村厕所革命，新建户厕3.5万个。</w:t>
            </w:r>
          </w:p>
        </w:tc>
      </w:tr>
    </w:tbl>
    <w:p w14:paraId="32500998">
      <w:pPr>
        <w:spacing w:line="360" w:lineRule="auto"/>
        <w:jc w:val="both"/>
        <w:rPr>
          <w:rFonts w:hint="eastAsia" w:ascii="仿宋" w:hAnsi="仿宋" w:eastAsia="仿宋" w:cs="仿宋"/>
          <w:b/>
          <w:bCs/>
          <w:color w:val="000000" w:themeColor="text1"/>
          <w:kern w:val="44"/>
          <w:sz w:val="36"/>
          <w:szCs w:val="4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2AE01DE5">
      <w:pPr>
        <w:pStyle w:val="3"/>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黑体" w:hAnsi="黑体" w:eastAsia="黑体" w:cs="黑体"/>
          <w:b w:val="0"/>
          <w:bCs w:val="0"/>
          <w:color w:val="000000" w:themeColor="text1"/>
          <w14:textFill>
            <w14:solidFill>
              <w14:schemeClr w14:val="tx1"/>
            </w14:solidFill>
          </w14:textFill>
        </w:rPr>
      </w:pPr>
      <w:bookmarkStart w:id="125" w:name="_Toc16868"/>
      <w:bookmarkStart w:id="126" w:name="_Toc3716"/>
      <w:bookmarkStart w:id="127" w:name="_Toc18566_WPSOffice_Level1"/>
      <w:bookmarkStart w:id="128" w:name="_Toc15145"/>
      <w:bookmarkStart w:id="129" w:name="_Toc61280844"/>
      <w:r>
        <w:rPr>
          <w:rFonts w:hint="eastAsia" w:ascii="黑体" w:hAnsi="黑体" w:eastAsia="黑体" w:cs="黑体"/>
          <w:b w:val="0"/>
          <w:bCs w:val="0"/>
          <w:color w:val="000000" w:themeColor="text1"/>
          <w14:textFill>
            <w14:solidFill>
              <w14:schemeClr w14:val="tx1"/>
            </w14:solidFill>
          </w14:textFill>
        </w:rPr>
        <w:t>第五章  增进民生福祉 构筑</w:t>
      </w:r>
      <w:r>
        <w:rPr>
          <w:rFonts w:hint="eastAsia" w:ascii="黑体" w:hAnsi="黑体" w:cs="黑体"/>
          <w:b w:val="0"/>
          <w:bCs w:val="0"/>
          <w:color w:val="000000" w:themeColor="text1"/>
          <w:lang w:eastAsia="zh-CN"/>
          <w14:textFill>
            <w14:solidFill>
              <w14:schemeClr w14:val="tx1"/>
            </w14:solidFill>
          </w14:textFill>
        </w:rPr>
        <w:t>幸福</w:t>
      </w:r>
      <w:r>
        <w:rPr>
          <w:rFonts w:hint="eastAsia" w:ascii="黑体" w:hAnsi="黑体" w:eastAsia="黑体" w:cs="黑体"/>
          <w:b w:val="0"/>
          <w:bCs w:val="0"/>
          <w:color w:val="000000" w:themeColor="text1"/>
          <w14:textFill>
            <w14:solidFill>
              <w14:schemeClr w14:val="tx1"/>
            </w14:solidFill>
          </w14:textFill>
        </w:rPr>
        <w:t>扎赉特</w:t>
      </w:r>
      <w:bookmarkEnd w:id="125"/>
      <w:bookmarkEnd w:id="126"/>
      <w:bookmarkEnd w:id="127"/>
      <w:bookmarkEnd w:id="128"/>
    </w:p>
    <w:p w14:paraId="331D8C71">
      <w:pPr>
        <w:pageBreakBefore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1C79BB6E">
      <w:pPr>
        <w:pageBreakBefore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把实现好、维护好、发展好最广大人民根本利益作为发展的出发点和落脚点，尽力而为，量力而行，健全基本公共服务体系，提高基本公共服务保障能力和均等化水平，着力解决好人民最关心、最直接、最现实的利益问题，把各项民生政策落实到位，使发展成果惠及百姓，不断增强人民群众获得感、幸福感、安全感，提升全旗人民生活品质。</w:t>
      </w:r>
    </w:p>
    <w:p w14:paraId="63F8CD8B">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14:textFill>
            <w14:solidFill>
              <w14:schemeClr w14:val="tx1"/>
            </w14:solidFill>
          </w14:textFill>
        </w:rPr>
      </w:pPr>
      <w:bookmarkStart w:id="130" w:name="_Toc9948"/>
      <w:bookmarkStart w:id="131" w:name="_Toc20422"/>
      <w:bookmarkStart w:id="132" w:name="_Toc10703"/>
      <w:r>
        <w:rPr>
          <w:rFonts w:hint="eastAsia" w:ascii="仿宋" w:hAnsi="仿宋" w:eastAsia="仿宋" w:cs="仿宋"/>
          <w:color w:val="000000" w:themeColor="text1"/>
          <w14:textFill>
            <w14:solidFill>
              <w14:schemeClr w14:val="tx1"/>
            </w14:solidFill>
          </w14:textFill>
        </w:rPr>
        <w:t xml:space="preserve">第一节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保障</w:t>
      </w:r>
      <w:r>
        <w:rPr>
          <w:rFonts w:hint="eastAsia" w:ascii="仿宋" w:hAnsi="仿宋" w:eastAsia="仿宋" w:cs="仿宋"/>
          <w:color w:val="000000" w:themeColor="text1"/>
          <w14:textFill>
            <w14:solidFill>
              <w14:schemeClr w14:val="tx1"/>
            </w14:solidFill>
          </w14:textFill>
        </w:rPr>
        <w:t>就业稳定</w:t>
      </w:r>
      <w:bookmarkEnd w:id="130"/>
      <w:bookmarkEnd w:id="131"/>
      <w:bookmarkEnd w:id="132"/>
    </w:p>
    <w:p w14:paraId="2D80DE74">
      <w:pPr>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拓展就业发展空间。</w:t>
      </w:r>
      <w:r>
        <w:rPr>
          <w:rFonts w:hint="eastAsia" w:ascii="仿宋" w:hAnsi="仿宋" w:eastAsia="仿宋" w:cs="仿宋"/>
          <w:color w:val="000000" w:themeColor="text1"/>
          <w:sz w:val="32"/>
          <w:szCs w:val="32"/>
          <w14:textFill>
            <w14:solidFill>
              <w14:schemeClr w14:val="tx1"/>
            </w14:solidFill>
          </w14:textFill>
        </w:rPr>
        <w:t>支持和推动农牧业产业化体系建设，扩大就业容量，提高服务业吸纳就业水平，拓展农村就业空间。扩大失业保险援企稳岗受益面，促进中小微企业稳定就业存量。持续实施就业帮扶和援助行动，多渠道开发公益性岗位，统筹做好高校毕业生、建档立卡贫困劳动力、农牧民工、退役军人、就业困难人员、残疾人、零就业家庭成员等重点群体就业。“十四五”期间，计划城镇新增就业人数累计达到7000人以上，失业再就业人数达到2000人以上，到2025年，确保城镇登记失业率控制在4.5%以内。</w:t>
      </w:r>
    </w:p>
    <w:p w14:paraId="31F12195">
      <w:pPr>
        <w:pageBreakBefore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鼓励创业带动就业。</w:t>
      </w:r>
      <w:r>
        <w:rPr>
          <w:rFonts w:hint="eastAsia" w:ascii="仿宋" w:hAnsi="仿宋" w:eastAsia="仿宋" w:cs="仿宋"/>
          <w:color w:val="000000" w:themeColor="text1"/>
          <w:sz w:val="32"/>
          <w:szCs w:val="32"/>
          <w14:textFill>
            <w14:solidFill>
              <w14:schemeClr w14:val="tx1"/>
            </w14:solidFill>
          </w14:textFill>
        </w:rPr>
        <w:t>加大初创企业政策扶持力度，</w:t>
      </w:r>
      <w:r>
        <w:rPr>
          <w:rFonts w:hint="eastAsia" w:ascii="仿宋" w:hAnsi="仿宋" w:eastAsia="仿宋" w:cs="仿宋"/>
          <w:color w:val="000000" w:themeColor="text1"/>
          <w:sz w:val="32"/>
          <w:szCs w:val="32"/>
          <w:lang w:val="en-US" w:eastAsia="zh-CN"/>
          <w14:textFill>
            <w14:solidFill>
              <w14:schemeClr w14:val="tx1"/>
            </w14:solidFill>
          </w14:textFill>
        </w:rPr>
        <w:t>加强</w:t>
      </w:r>
      <w:r>
        <w:rPr>
          <w:rFonts w:hint="eastAsia" w:ascii="仿宋" w:hAnsi="仿宋" w:eastAsia="仿宋" w:cs="仿宋"/>
          <w:color w:val="000000" w:themeColor="text1"/>
          <w:sz w:val="32"/>
          <w:szCs w:val="32"/>
          <w14:textFill>
            <w14:solidFill>
              <w14:schemeClr w14:val="tx1"/>
            </w14:solidFill>
          </w14:textFill>
        </w:rPr>
        <w:t>创业园及创业孵化基地</w:t>
      </w:r>
      <w:r>
        <w:rPr>
          <w:rFonts w:hint="eastAsia" w:ascii="仿宋" w:hAnsi="仿宋" w:eastAsia="仿宋" w:cs="仿宋"/>
          <w:color w:val="000000" w:themeColor="text1"/>
          <w:sz w:val="32"/>
          <w:szCs w:val="32"/>
          <w:lang w:val="en-US" w:eastAsia="zh-CN"/>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打造</w:t>
      </w:r>
      <w:r>
        <w:rPr>
          <w:rFonts w:hint="eastAsia" w:ascii="仿宋" w:hAnsi="仿宋" w:eastAsia="仿宋" w:cs="仿宋"/>
          <w:color w:val="000000" w:themeColor="text1"/>
          <w:sz w:val="32"/>
          <w:szCs w:val="32"/>
          <w14:textFill>
            <w14:solidFill>
              <w14:schemeClr w14:val="tx1"/>
            </w14:solidFill>
          </w14:textFill>
        </w:rPr>
        <w:t>开放式综合服务创业孵化基地，降低创业门槛，拓宽创业投融资渠道，以创业带动就业。扶持重点群体和新兴产业，用足用好培训补贴等支持政策，采用“以奖代补”等多种形式，支持高校毕业生、退役军人、农牧民等重点群体创业就业。健全公共就业创业服务保障机制，加快乡镇、街道和社区、行政村公共就业平台建设，稳定充实基层就业服务人员力量。</w:t>
      </w:r>
    </w:p>
    <w:p w14:paraId="19DAE6B1">
      <w:pPr>
        <w:pageBreakBefore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优化劳动力资源配置。</w:t>
      </w:r>
      <w:r>
        <w:rPr>
          <w:rFonts w:hint="eastAsia" w:ascii="仿宋" w:hAnsi="仿宋" w:eastAsia="仿宋" w:cs="仿宋"/>
          <w:bCs/>
          <w:color w:val="000000" w:themeColor="text1"/>
          <w:sz w:val="32"/>
          <w:szCs w:val="32"/>
          <w14:textFill>
            <w14:solidFill>
              <w14:schemeClr w14:val="tx1"/>
            </w14:solidFill>
          </w14:textFill>
        </w:rPr>
        <w:t>加强对人力资源服务业的监管，优化创业环境，落实税费减免、创业培训、创业担保贷款支持等配套政策措施，</w:t>
      </w:r>
      <w:r>
        <w:rPr>
          <w:rFonts w:hint="eastAsia" w:ascii="仿宋" w:hAnsi="仿宋" w:eastAsia="仿宋" w:cs="仿宋"/>
          <w:color w:val="000000" w:themeColor="text1"/>
          <w:sz w:val="32"/>
          <w:szCs w:val="32"/>
          <w14:textFill>
            <w14:solidFill>
              <w14:schemeClr w14:val="tx1"/>
            </w14:solidFill>
          </w14:textFill>
        </w:rPr>
        <w:t>打造就业创业工作场地及零工市场固定场所，定期举办招聘会，实时发布招聘求职信息，稳定和扩大劳务输出</w:t>
      </w:r>
      <w:r>
        <w:rPr>
          <w:rFonts w:hint="eastAsia" w:ascii="仿宋" w:hAnsi="仿宋" w:eastAsia="仿宋" w:cs="仿宋"/>
          <w:color w:val="000000" w:themeColor="text1"/>
          <w:sz w:val="32"/>
          <w:szCs w:val="32"/>
          <w:lang w:val="en-US" w:eastAsia="zh-CN"/>
          <w14:textFill>
            <w14:solidFill>
              <w14:schemeClr w14:val="tx1"/>
            </w14:solidFill>
          </w14:textFill>
        </w:rPr>
        <w:t>规模</w:t>
      </w:r>
      <w:r>
        <w:rPr>
          <w:rFonts w:hint="eastAsia" w:ascii="仿宋" w:hAnsi="仿宋" w:eastAsia="仿宋" w:cs="仿宋"/>
          <w:color w:val="000000" w:themeColor="text1"/>
          <w:sz w:val="32"/>
          <w:szCs w:val="32"/>
          <w14:textFill>
            <w14:solidFill>
              <w14:schemeClr w14:val="tx1"/>
            </w14:solidFill>
          </w14:textFill>
        </w:rPr>
        <w:t>，形成良性互动，不断完善就业政策咨询等公共就业服务体系。</w:t>
      </w:r>
      <w:r>
        <w:rPr>
          <w:rFonts w:hint="eastAsia" w:ascii="仿宋" w:hAnsi="仿宋" w:eastAsia="仿宋" w:cs="仿宋"/>
          <w:color w:val="000000" w:themeColor="text1"/>
          <w:sz w:val="32"/>
          <w:szCs w:val="32"/>
          <w:lang w:eastAsia="zh-CN"/>
          <w14:textFill>
            <w14:solidFill>
              <w14:schemeClr w14:val="tx1"/>
            </w14:solidFill>
          </w14:textFill>
        </w:rPr>
        <w:t>用好</w:t>
      </w:r>
      <w:r>
        <w:rPr>
          <w:rFonts w:hint="eastAsia" w:ascii="仿宋" w:hAnsi="仿宋" w:eastAsia="仿宋" w:cs="仿宋"/>
          <w:color w:val="000000" w:themeColor="text1"/>
          <w:sz w:val="32"/>
          <w:szCs w:val="32"/>
          <w14:textFill>
            <w14:solidFill>
              <w14:schemeClr w14:val="tx1"/>
            </w14:solidFill>
          </w14:textFill>
        </w:rPr>
        <w:t>“打工直通车”终端设备，发挥线上招聘功能，促进劳动力供需双方对接。</w:t>
      </w:r>
    </w:p>
    <w:p w14:paraId="59E68D94">
      <w:pPr>
        <w:pageBreakBefore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大力开展职业技能培训。</w:t>
      </w:r>
      <w:r>
        <w:rPr>
          <w:rFonts w:hint="eastAsia" w:ascii="仿宋" w:hAnsi="仿宋" w:eastAsia="仿宋" w:cs="仿宋"/>
          <w:color w:val="000000" w:themeColor="text1"/>
          <w:sz w:val="32"/>
          <w:szCs w:val="32"/>
          <w14:textFill>
            <w14:solidFill>
              <w14:schemeClr w14:val="tx1"/>
            </w14:solidFill>
          </w14:textFill>
        </w:rPr>
        <w:t>实施技能人才培育工程，整合</w:t>
      </w:r>
      <w:r>
        <w:rPr>
          <w:rFonts w:hint="eastAsia" w:ascii="仿宋" w:hAnsi="仿宋" w:eastAsia="仿宋" w:cs="仿宋"/>
          <w:color w:val="000000" w:themeColor="text1"/>
          <w:sz w:val="32"/>
          <w:szCs w:val="32"/>
          <w:lang w:eastAsia="zh-CN"/>
          <w14:textFill>
            <w14:solidFill>
              <w14:schemeClr w14:val="tx1"/>
            </w14:solidFill>
          </w14:textFill>
        </w:rPr>
        <w:t>培训</w:t>
      </w:r>
      <w:r>
        <w:rPr>
          <w:rFonts w:hint="eastAsia" w:ascii="仿宋" w:hAnsi="仿宋" w:eastAsia="仿宋" w:cs="仿宋"/>
          <w:color w:val="000000" w:themeColor="text1"/>
          <w:sz w:val="32"/>
          <w:szCs w:val="32"/>
          <w14:textFill>
            <w14:solidFill>
              <w14:schemeClr w14:val="tx1"/>
            </w14:solidFill>
          </w14:textFill>
        </w:rPr>
        <w:t>资源，发挥</w:t>
      </w:r>
      <w:r>
        <w:rPr>
          <w:rFonts w:hint="eastAsia" w:ascii="仿宋" w:hAnsi="仿宋" w:eastAsia="仿宋" w:cs="仿宋"/>
          <w:color w:val="000000" w:themeColor="text1"/>
          <w:sz w:val="32"/>
          <w:szCs w:val="32"/>
          <w:lang w:eastAsia="zh-CN"/>
          <w14:textFill>
            <w14:solidFill>
              <w14:schemeClr w14:val="tx1"/>
            </w14:solidFill>
          </w14:textFill>
        </w:rPr>
        <w:t>各类培训机构</w:t>
      </w:r>
      <w:r>
        <w:rPr>
          <w:rFonts w:hint="eastAsia" w:ascii="仿宋" w:hAnsi="仿宋" w:eastAsia="仿宋" w:cs="仿宋"/>
          <w:color w:val="000000" w:themeColor="text1"/>
          <w:sz w:val="32"/>
          <w:szCs w:val="32"/>
          <w14:textFill>
            <w14:solidFill>
              <w14:schemeClr w14:val="tx1"/>
            </w14:solidFill>
          </w14:textFill>
        </w:rPr>
        <w:t>服务职能，多渠道、多层次开展职业技能培训和实用技能培训。强化就业创业培训机制，做好需求调查和资源整合，建设公共实训基地1处，提升职业技能培训效果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满足就业需求。“十四五”期间，组织技能培训各类人员4000人次</w:t>
      </w:r>
      <w:r>
        <w:rPr>
          <w:rFonts w:hint="eastAsia" w:ascii="仿宋" w:hAnsi="仿宋" w:eastAsia="仿宋" w:cs="仿宋"/>
          <w:color w:val="000000" w:themeColor="text1"/>
          <w:sz w:val="32"/>
          <w:szCs w:val="32"/>
          <w:lang w:eastAsia="zh-CN"/>
          <w14:textFill>
            <w14:solidFill>
              <w14:schemeClr w14:val="tx1"/>
            </w14:solidFill>
          </w14:textFill>
        </w:rPr>
        <w:t>以上</w:t>
      </w:r>
      <w:r>
        <w:rPr>
          <w:rFonts w:hint="eastAsia" w:ascii="仿宋" w:hAnsi="仿宋" w:eastAsia="仿宋" w:cs="仿宋"/>
          <w:color w:val="000000" w:themeColor="text1"/>
          <w:sz w:val="32"/>
          <w:szCs w:val="32"/>
          <w14:textFill>
            <w14:solidFill>
              <w14:schemeClr w14:val="tx1"/>
            </w14:solidFill>
          </w14:textFill>
        </w:rPr>
        <w:t>。</w:t>
      </w:r>
    </w:p>
    <w:p w14:paraId="6665D5B2">
      <w:pPr>
        <w:pStyle w:val="4"/>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14:textFill>
            <w14:solidFill>
              <w14:schemeClr w14:val="tx1"/>
            </w14:solidFill>
          </w14:textFill>
        </w:rPr>
      </w:pPr>
      <w:bookmarkStart w:id="133" w:name="_Toc6047"/>
      <w:bookmarkStart w:id="134" w:name="_Toc4941"/>
      <w:bookmarkStart w:id="135" w:name="_Toc30443"/>
      <w:r>
        <w:rPr>
          <w:rFonts w:hint="eastAsia" w:ascii="仿宋" w:hAnsi="仿宋" w:eastAsia="仿宋" w:cs="仿宋"/>
          <w:color w:val="000000" w:themeColor="text1"/>
          <w14:textFill>
            <w14:solidFill>
              <w14:schemeClr w14:val="tx1"/>
            </w14:solidFill>
          </w14:textFill>
        </w:rPr>
        <w:t xml:space="preserve">第二节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推进教育高质量发展</w:t>
      </w:r>
      <w:bookmarkEnd w:id="133"/>
      <w:bookmarkEnd w:id="134"/>
      <w:bookmarkEnd w:id="135"/>
    </w:p>
    <w:p w14:paraId="64617BD7">
      <w:pPr>
        <w:pageBreakBefore w:val="0"/>
        <w:tabs>
          <w:tab w:val="left" w:pos="1900"/>
        </w:tabs>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仿宋" w:hAnsi="仿宋" w:eastAsia="仿宋" w:cs="仿宋"/>
          <w:b/>
          <w:color w:val="000000" w:themeColor="text1"/>
          <w:sz w:val="32"/>
          <w:szCs w:val="32"/>
          <w14:textFill>
            <w14:solidFill>
              <w14:schemeClr w14:val="tx1"/>
            </w14:solidFill>
          </w14:textFill>
        </w:rPr>
        <w:t>完善学前教育公共服务体系。</w:t>
      </w:r>
      <w:r>
        <w:rPr>
          <w:rFonts w:hint="eastAsia" w:ascii="仿宋" w:hAnsi="仿宋" w:eastAsia="仿宋" w:cs="仿宋"/>
          <w:color w:val="000000" w:themeColor="text1"/>
          <w:sz w:val="32"/>
          <w:szCs w:val="32"/>
          <w14:textFill>
            <w14:solidFill>
              <w14:schemeClr w14:val="tx1"/>
            </w14:solidFill>
          </w14:textFill>
        </w:rPr>
        <w:t>加快学前教育资源建设，全面形成“覆盖城乡、布局合理、资源充足、公益普惠、优质高效、公办为主、民办为辅”的学前教育发展格局。立足城镇化发展趋势，扩大城镇公办园建设，规划新建和改扩建5所公办幼儿园，新增公办学位1500个以上。积极推动普惠性民办园规范有序发展。加强农牧区示范性幼儿园建设，提升办学水平。持续整治幼儿园“小学化”倾向，确保为广大幼儿身心健康发展营造良好环境。到2025年，实现学前三年毛入园率达到97%，公办园在园幼儿占比达75%，普惠性幼儿园覆盖率达到90%以上。</w:t>
      </w:r>
    </w:p>
    <w:p w14:paraId="5C76BF47">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促进中小学教育优质均衡发展。</w:t>
      </w:r>
      <w:r>
        <w:rPr>
          <w:rFonts w:hint="eastAsia" w:ascii="仿宋" w:hAnsi="仿宋" w:eastAsia="仿宋" w:cs="仿宋"/>
          <w:color w:val="000000" w:themeColor="text1"/>
          <w:sz w:val="32"/>
          <w:szCs w:val="32"/>
          <w14:textFill>
            <w14:solidFill>
              <w14:schemeClr w14:val="tx1"/>
            </w14:solidFill>
          </w14:textFill>
        </w:rPr>
        <w:t>推进义务教育优质均衡发展，切实保障适龄儿童少年接受公平的教育。加快标准化学校建设，争取每年完成3-5所学校整体提升任务。加大基础设施建设，规划新建小学、中学、高中各1所，抓好薄弱学校建设，进一步改善农村小规模学校和乡镇寄宿制学校办学条件。保障进城务工子女入学，完善经济困难家庭学生资助体系，确保适龄儿童入学率达到100%。全面推进素质教育，改革教学方式，科学评价教育教学质量，提升学生综合素质。到2025年，</w:t>
      </w:r>
      <w:r>
        <w:rPr>
          <w:rFonts w:hint="eastAsia" w:ascii="仿宋" w:hAnsi="仿宋" w:eastAsia="仿宋" w:cs="仿宋"/>
          <w:bCs/>
          <w:color w:val="000000" w:themeColor="text1"/>
          <w:sz w:val="32"/>
          <w:szCs w:val="32"/>
          <w14:textFill>
            <w14:solidFill>
              <w14:schemeClr w14:val="tx1"/>
            </w14:solidFill>
          </w14:textFill>
        </w:rPr>
        <w:t>九年义务教育巩固率达到96%以上。</w:t>
      </w:r>
    </w:p>
    <w:p w14:paraId="28271973">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推动各类教育有序发展。</w:t>
      </w:r>
      <w:r>
        <w:rPr>
          <w:rFonts w:hint="eastAsia" w:ascii="仿宋" w:hAnsi="仿宋" w:eastAsia="仿宋" w:cs="仿宋"/>
          <w:b w:val="0"/>
          <w:bCs w:val="0"/>
          <w:color w:val="000000" w:themeColor="text1"/>
          <w:sz w:val="32"/>
          <w:szCs w:val="32"/>
          <w14:textFill>
            <w14:solidFill>
              <w14:schemeClr w14:val="tx1"/>
            </w14:solidFill>
          </w14:textFill>
        </w:rPr>
        <w:t>加大经费投入，改善高中阶段学校办学条件，加强普通高中基础设施建设。有计划扩大音德尔第三中学高中部招生规模。高中阶段毛入学率达到95%以上。改革普通高中育人方式，实施普通高中攻坚计划，推动高中阶段教育多样化、特色化发展。推进职业教育优质发展，稳步提升高中阶段教育职普比，指导我旗初中毕业生分流基本趋于合理，到2022年职普比达到4：6。到2025年中职毕业生继续接受本科教育的比例达到20%左右。</w:t>
      </w:r>
    </w:p>
    <w:p w14:paraId="0251C628">
      <w:pPr>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推进民族教育</w:t>
      </w:r>
      <w:r>
        <w:rPr>
          <w:rFonts w:hint="eastAsia" w:ascii="仿宋" w:hAnsi="仿宋" w:eastAsia="仿宋" w:cs="仿宋"/>
          <w:b/>
          <w:bCs/>
          <w:color w:val="000000" w:themeColor="text1"/>
          <w:sz w:val="32"/>
          <w:szCs w:val="32"/>
          <w:lang w:eastAsia="zh-CN"/>
          <w14:textFill>
            <w14:solidFill>
              <w14:schemeClr w14:val="tx1"/>
            </w14:solidFill>
          </w14:textFill>
        </w:rPr>
        <w:t>健康快速</w:t>
      </w:r>
      <w:r>
        <w:rPr>
          <w:rFonts w:hint="eastAsia" w:ascii="仿宋" w:hAnsi="仿宋" w:eastAsia="仿宋" w:cs="仿宋"/>
          <w:b/>
          <w:bCs/>
          <w:color w:val="000000" w:themeColor="text1"/>
          <w:sz w:val="32"/>
          <w:szCs w:val="32"/>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全面改善民族义务教育薄弱学校办学条件，缩小城乡差距。大力培育和践行社会主义核心价值观，铸牢中华民族共同体意识。重视和加强校园文化建设，推进民族教育事业又好又快发展。加大推行使用国家统编教材的宣传力度，进一步加强国家通用语言文字教育，</w:t>
      </w:r>
      <w:r>
        <w:rPr>
          <w:rFonts w:hint="eastAsia" w:ascii="仿宋" w:hAnsi="仿宋" w:eastAsia="仿宋" w:cs="仿宋"/>
          <w:color w:val="000000" w:themeColor="text1"/>
          <w:sz w:val="32"/>
          <w:szCs w:val="32"/>
          <w:lang w:val="en-US" w:eastAsia="zh-CN"/>
          <w14:textFill>
            <w14:solidFill>
              <w14:schemeClr w14:val="tx1"/>
            </w14:solidFill>
          </w14:textFill>
        </w:rPr>
        <w:t>促进</w:t>
      </w:r>
      <w:r>
        <w:rPr>
          <w:rFonts w:hint="eastAsia" w:ascii="仿宋" w:hAnsi="仿宋" w:eastAsia="仿宋" w:cs="仿宋"/>
          <w:color w:val="000000" w:themeColor="text1"/>
          <w:sz w:val="32"/>
          <w:szCs w:val="32"/>
          <w14:textFill>
            <w14:solidFill>
              <w14:schemeClr w14:val="tx1"/>
            </w14:solidFill>
          </w14:textFill>
        </w:rPr>
        <w:t xml:space="preserve">民族语言授课学校与汉语授课学校建立联动机制，为民族语言授课学校使用国家统编教材提供有力支撑。 </w:t>
      </w:r>
    </w:p>
    <w:p w14:paraId="066A4BD4">
      <w:pPr>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推进特殊教育健康发展</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特殊教育要创造条件向学前和职教班两头延伸，通过普校随班就读、特殊教育学校就读、送教上门等方式做好特殊教育，充分发挥特殊教育指导中心作用，加强特教师资队伍建设，全面实施融合教育</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鼓励社会力量提供多样化教育服务。</w:t>
      </w:r>
    </w:p>
    <w:p w14:paraId="3E7A7526">
      <w:pPr>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促进学生身心健康。</w:t>
      </w:r>
      <w:r>
        <w:rPr>
          <w:rFonts w:hint="eastAsia" w:ascii="仿宋" w:hAnsi="仿宋" w:eastAsia="仿宋" w:cs="仿宋"/>
          <w:color w:val="000000" w:themeColor="text1"/>
          <w:sz w:val="32"/>
          <w:szCs w:val="32"/>
          <w14:textFill>
            <w14:solidFill>
              <w14:schemeClr w14:val="tx1"/>
            </w14:solidFill>
          </w14:textFill>
        </w:rPr>
        <w:t xml:space="preserve"> 实施青少年身心健康教育计划，广泛开展校园文体活动，建立健全留守儿童关爱服务机制，发挥学校主阵地作用，营造部门、村组、家庭联动的社会氛围，整治校园周边环境，将留守学生工作纳入考核指标，确保留守儿童100%有临时监护人，入学率、巩固率均达100％。</w:t>
      </w:r>
    </w:p>
    <w:p w14:paraId="1E1D3271">
      <w:pPr>
        <w:pageBreakBefore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加强师资队伍建设。</w:t>
      </w:r>
      <w:r>
        <w:rPr>
          <w:rFonts w:hint="eastAsia" w:ascii="仿宋" w:hAnsi="仿宋" w:eastAsia="仿宋" w:cs="仿宋"/>
          <w:color w:val="000000" w:themeColor="text1"/>
          <w:sz w:val="32"/>
          <w:szCs w:val="32"/>
          <w14:textFill>
            <w14:solidFill>
              <w14:schemeClr w14:val="tx1"/>
            </w14:solidFill>
          </w14:textFill>
        </w:rPr>
        <w:t>对区域教育急需的紧缺教师，实行特殊政策，实现精准引进。进一步深化中小学教师“县管校聘”管理体制改革。加强双语教师、心理咨询教师、思想政治教师队伍建设，创新特岗教师管理模式，提高农牧区教师待遇，增强人才吸引力，提升农牧区师资水平。</w:t>
      </w:r>
      <w:r>
        <w:rPr>
          <w:rFonts w:hint="eastAsia" w:ascii="仿宋" w:hAnsi="仿宋" w:eastAsia="仿宋" w:cs="仿宋"/>
          <w:color w:val="000000" w:themeColor="text1"/>
          <w:sz w:val="32"/>
          <w:szCs w:val="32"/>
          <w:lang w:val="en-US" w:eastAsia="zh-CN"/>
          <w14:textFill>
            <w14:solidFill>
              <w14:schemeClr w14:val="tx1"/>
            </w14:solidFill>
          </w14:textFill>
        </w:rPr>
        <w:t>到</w:t>
      </w:r>
      <w:r>
        <w:rPr>
          <w:rFonts w:hint="eastAsia" w:ascii="仿宋" w:hAnsi="仿宋" w:eastAsia="仿宋" w:cs="仿宋"/>
          <w:color w:val="000000" w:themeColor="text1"/>
          <w:sz w:val="32"/>
          <w:szCs w:val="32"/>
          <w14:textFill>
            <w14:solidFill>
              <w14:schemeClr w14:val="tx1"/>
            </w14:solidFill>
          </w14:textFill>
        </w:rPr>
        <w:t>2025年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各学科优质教育资源实现基本均衡。</w:t>
      </w:r>
    </w:p>
    <w:p w14:paraId="59AF1C94">
      <w:pPr>
        <w:pageBreakBefore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加强办学</w:t>
      </w:r>
      <w:r>
        <w:rPr>
          <w:rFonts w:hint="eastAsia" w:ascii="仿宋" w:hAnsi="仿宋" w:eastAsia="仿宋" w:cs="仿宋"/>
          <w:b/>
          <w:color w:val="000000" w:themeColor="text1"/>
          <w:sz w:val="32"/>
          <w:szCs w:val="32"/>
          <w14:textFill>
            <w14:solidFill>
              <w14:schemeClr w14:val="tx1"/>
            </w14:solidFill>
          </w14:textFill>
        </w:rPr>
        <w:t>基础能力</w:t>
      </w:r>
      <w:r>
        <w:rPr>
          <w:rFonts w:hint="eastAsia" w:ascii="仿宋" w:hAnsi="仿宋" w:eastAsia="仿宋" w:cs="仿宋"/>
          <w:b/>
          <w:color w:val="000000" w:themeColor="text1"/>
          <w:sz w:val="32"/>
          <w:szCs w:val="32"/>
          <w:lang w:val="en-US" w:eastAsia="zh-CN"/>
          <w14:textFill>
            <w14:solidFill>
              <w14:schemeClr w14:val="tx1"/>
            </w14:solidFill>
          </w14:textFill>
        </w:rPr>
        <w:t>项目</w:t>
      </w:r>
      <w:r>
        <w:rPr>
          <w:rFonts w:hint="eastAsia" w:ascii="仿宋" w:hAnsi="仿宋" w:eastAsia="仿宋" w:cs="仿宋"/>
          <w:b/>
          <w:color w:val="000000" w:themeColor="text1"/>
          <w:sz w:val="32"/>
          <w:szCs w:val="32"/>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建设项目涵盖学前、小学、初中、高中、中等职业学校等各级各类学校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重点包括5所旗直幼儿园、10所村级幼儿园建设</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扎赉特旗音德尔第十小学、移民搬迁两所学校及幼儿园项目、6所农村学校教师周转宿舍、扎赉特旗音德尔第七中学、扎赉特旗音德尔第二中学、第六中学、第三中学、扎赉特旗中等职业学校扩建项目、2所高中体育馆及智慧校园、电教设备更新等项目。</w:t>
      </w:r>
    </w:p>
    <w:p w14:paraId="16C9B207">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lang w:eastAsia="zh-CN"/>
          <w14:textFill>
            <w14:solidFill>
              <w14:schemeClr w14:val="tx1"/>
            </w14:solidFill>
          </w14:textFill>
        </w:rPr>
      </w:pPr>
      <w:bookmarkStart w:id="136" w:name="_Toc18253"/>
      <w:bookmarkStart w:id="137" w:name="_Toc13506"/>
      <w:bookmarkStart w:id="138" w:name="_Toc25103"/>
      <w:r>
        <w:rPr>
          <w:rFonts w:hint="eastAsia" w:ascii="仿宋" w:hAnsi="仿宋" w:eastAsia="仿宋" w:cs="仿宋"/>
          <w:color w:val="000000" w:themeColor="text1"/>
          <w14:textFill>
            <w14:solidFill>
              <w14:schemeClr w14:val="tx1"/>
            </w14:solidFill>
          </w14:textFill>
        </w:rPr>
        <w:t>第三节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加快建设</w:t>
      </w:r>
      <w:r>
        <w:rPr>
          <w:rFonts w:hint="eastAsia" w:ascii="仿宋" w:hAnsi="仿宋" w:eastAsia="仿宋" w:cs="仿宋"/>
          <w:color w:val="000000" w:themeColor="text1"/>
          <w:lang w:eastAsia="zh-CN"/>
          <w14:textFill>
            <w14:solidFill>
              <w14:schemeClr w14:val="tx1"/>
            </w14:solidFill>
          </w14:textFill>
        </w:rPr>
        <w:t>卫生</w:t>
      </w:r>
      <w:r>
        <w:rPr>
          <w:rFonts w:hint="eastAsia" w:ascii="仿宋" w:hAnsi="仿宋" w:eastAsia="仿宋" w:cs="仿宋"/>
          <w:color w:val="000000" w:themeColor="text1"/>
          <w14:textFill>
            <w14:solidFill>
              <w14:schemeClr w14:val="tx1"/>
            </w14:solidFill>
          </w14:textFill>
        </w:rPr>
        <w:t>健康</w:t>
      </w:r>
      <w:r>
        <w:rPr>
          <w:rFonts w:hint="eastAsia" w:ascii="仿宋" w:hAnsi="仿宋" w:eastAsia="仿宋" w:cs="仿宋"/>
          <w:color w:val="000000" w:themeColor="text1"/>
          <w:lang w:eastAsia="zh-CN"/>
          <w14:textFill>
            <w14:solidFill>
              <w14:schemeClr w14:val="tx1"/>
            </w14:solidFill>
          </w14:textFill>
        </w:rPr>
        <w:t>保障体系</w:t>
      </w:r>
      <w:bookmarkEnd w:id="136"/>
      <w:bookmarkEnd w:id="137"/>
      <w:bookmarkEnd w:id="138"/>
    </w:p>
    <w:p w14:paraId="02AE5085">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完善卫生防疫应急管理体系</w:t>
      </w:r>
      <w:r>
        <w:rPr>
          <w:rFonts w:hint="eastAsia" w:ascii="仿宋" w:hAnsi="仿宋" w:eastAsia="仿宋" w:cs="仿宋"/>
          <w:color w:val="000000" w:themeColor="text1"/>
          <w:sz w:val="32"/>
          <w:szCs w:val="32"/>
          <w14:textFill>
            <w14:solidFill>
              <w14:schemeClr w14:val="tx1"/>
            </w14:solidFill>
          </w14:textFill>
        </w:rPr>
        <w:t>。加强疾控中心设备、人员、冷链和鼠疫防控体系建设，确保每年开展鼠疫、突发公共事件应急演练，提高独立开展鼠疫监测工作能力。健全以鼠疫、新冠肺炎为主的卫生应急预案，加强新冠肺炎疫情防控常态化管理，强化各项防控措施，做到早发现、早报告、早隔离、早治疗。完善应急储备体系，做好组织、人员、财力、物资、基础设施储备工作，提升突发公共卫生事件应急处置能力。</w:t>
      </w:r>
    </w:p>
    <w:p w14:paraId="625CD6EE">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健全医疗服务体系。</w:t>
      </w:r>
      <w:r>
        <w:rPr>
          <w:rFonts w:hint="eastAsia" w:ascii="仿宋" w:hAnsi="仿宋" w:eastAsia="仿宋" w:cs="仿宋"/>
          <w:color w:val="000000" w:themeColor="text1"/>
          <w:sz w:val="32"/>
          <w:szCs w:val="32"/>
          <w14:textFill>
            <w14:solidFill>
              <w14:schemeClr w14:val="tx1"/>
            </w14:solidFill>
          </w14:textFill>
        </w:rPr>
        <w:t>打造</w:t>
      </w:r>
      <w:r>
        <w:rPr>
          <w:rFonts w:hint="eastAsia" w:ascii="仿宋" w:hAnsi="仿宋" w:eastAsia="仿宋" w:cs="仿宋"/>
          <w:color w:val="000000" w:themeColor="text1"/>
          <w:sz w:val="32"/>
          <w:szCs w:val="32"/>
          <w:lang w:eastAsia="zh-CN"/>
          <w14:textFill>
            <w14:solidFill>
              <w14:schemeClr w14:val="tx1"/>
            </w14:solidFill>
          </w14:textFill>
        </w:rPr>
        <w:t>好</w:t>
      </w:r>
      <w:r>
        <w:rPr>
          <w:rFonts w:hint="eastAsia" w:ascii="仿宋" w:hAnsi="仿宋" w:eastAsia="仿宋" w:cs="仿宋"/>
          <w:color w:val="000000" w:themeColor="text1"/>
          <w:sz w:val="32"/>
          <w:szCs w:val="32"/>
          <w14:textFill>
            <w14:solidFill>
              <w14:schemeClr w14:val="tx1"/>
            </w14:solidFill>
          </w14:textFill>
        </w:rPr>
        <w:t>以旗级医院为龙头，以乡镇卫生院为中心，以社区村卫生室为基础的三级医疗服务网络。巩固旗级医疗机构服务能力，推进实施扎赉特旗人民医院门诊楼、病房楼建设，发挥人民医院三级医疗带动作用，蒙医、中医医院打造旗域蒙中医药医疗和预防保健中心，创建全国蒙中医药先进单位。以城镇为中心，加大社区卫生机构建设力度，推进标准化卫生室建设，提升乡镇卫生院服务能力。突出以全科医生为重点的基层医疗卫生队伍建设，2025年基本实现每万名居民有2名以上合格的全科医生，每个卫生院</w:t>
      </w:r>
      <w:r>
        <w:rPr>
          <w:rFonts w:hint="eastAsia" w:ascii="仿宋" w:hAnsi="仿宋" w:eastAsia="仿宋" w:cs="仿宋"/>
          <w:color w:val="000000" w:themeColor="text1"/>
          <w:sz w:val="32"/>
          <w:szCs w:val="32"/>
          <w:lang w:val="en-US"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2名以上合格的全科医生。积极引导社会资本投资兴办民营医疗机构，满足全旗城乡居民多样化的医疗卫生健康服务需求。</w:t>
      </w:r>
      <w:r>
        <w:rPr>
          <w:rFonts w:hint="eastAsia" w:ascii="仿宋" w:hAnsi="仿宋" w:eastAsia="仿宋" w:cs="仿宋"/>
          <w:color w:val="000000" w:themeColor="text1"/>
          <w:sz w:val="32"/>
          <w:szCs w:val="32"/>
          <w:lang w:val="en-US" w:eastAsia="zh-CN"/>
          <w14:textFill>
            <w14:solidFill>
              <w14:schemeClr w14:val="tx1"/>
            </w14:solidFill>
          </w14:textFill>
        </w:rPr>
        <w:t>到</w:t>
      </w:r>
      <w:r>
        <w:rPr>
          <w:rFonts w:hint="eastAsia" w:ascii="仿宋" w:hAnsi="仿宋" w:eastAsia="仿宋" w:cs="仿宋"/>
          <w:color w:val="000000" w:themeColor="text1"/>
          <w:sz w:val="32"/>
          <w:szCs w:val="32"/>
          <w14:textFill>
            <w14:solidFill>
              <w14:schemeClr w14:val="tx1"/>
            </w14:solidFill>
          </w14:textFill>
        </w:rPr>
        <w:t>2025年，实现90%的病人在</w:t>
      </w:r>
      <w:r>
        <w:rPr>
          <w:rFonts w:hint="eastAsia" w:ascii="仿宋" w:hAnsi="仿宋" w:eastAsia="仿宋" w:cs="仿宋"/>
          <w:color w:val="000000" w:themeColor="text1"/>
          <w:sz w:val="32"/>
          <w:szCs w:val="32"/>
          <w:lang w:val="en-US"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域内得到救治。</w:t>
      </w:r>
    </w:p>
    <w:p w14:paraId="4AF9BB0C">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完善健康保健服务体系。</w:t>
      </w:r>
      <w:r>
        <w:rPr>
          <w:rFonts w:hint="eastAsia" w:ascii="仿宋" w:hAnsi="仿宋" w:eastAsia="仿宋" w:cs="仿宋"/>
          <w:color w:val="000000" w:themeColor="text1"/>
          <w:sz w:val="32"/>
          <w:szCs w:val="32"/>
          <w14:textFill>
            <w14:solidFill>
              <w14:schemeClr w14:val="tx1"/>
            </w14:solidFill>
          </w14:textFill>
        </w:rPr>
        <w:t>坚持预防为主，健全慢性病防控机制，完善居民健康档案，实施好重大公共卫生服务项目，深入实施健康促进行动，开展健康问题针对性干预，提升健康教育服务质量，促进基本公共卫生健康服务逐步均等化，创建区级健康促进示范旗。加强蒙中医医疗机构基础设施建设，改建旗中医院，到2023年实现蒙中医医疗机构标准化建设全覆盖，建成旗乡村一体化的蒙中医服务网络，培植建设盟级、区级重点蒙中医专科。</w:t>
      </w:r>
      <w:r>
        <w:rPr>
          <w:rFonts w:hint="eastAsia" w:ascii="仿宋" w:hAnsi="仿宋" w:eastAsia="仿宋" w:cs="仿宋"/>
          <w:color w:val="000000" w:themeColor="text1"/>
          <w:sz w:val="32"/>
          <w:szCs w:val="32"/>
          <w:lang w:val="en-US" w:eastAsia="zh-CN"/>
          <w14:textFill>
            <w14:solidFill>
              <w14:schemeClr w14:val="tx1"/>
            </w14:solidFill>
          </w14:textFill>
        </w:rPr>
        <w:t>加强</w:t>
      </w:r>
      <w:r>
        <w:rPr>
          <w:rFonts w:hint="eastAsia" w:ascii="仿宋" w:hAnsi="仿宋" w:eastAsia="仿宋" w:cs="仿宋"/>
          <w:color w:val="000000" w:themeColor="text1"/>
          <w:sz w:val="32"/>
          <w:szCs w:val="32"/>
          <w14:textFill>
            <w14:solidFill>
              <w14:schemeClr w14:val="tx1"/>
            </w14:solidFill>
          </w14:textFill>
        </w:rPr>
        <w:t>妇幼保健</w:t>
      </w:r>
      <w:r>
        <w:rPr>
          <w:rFonts w:hint="eastAsia" w:ascii="仿宋" w:hAnsi="仿宋" w:eastAsia="仿宋" w:cs="仿宋"/>
          <w:color w:val="000000" w:themeColor="text1"/>
          <w:sz w:val="32"/>
          <w:szCs w:val="32"/>
          <w:lang w:val="en-US" w:eastAsia="zh-CN"/>
          <w14:textFill>
            <w14:solidFill>
              <w14:schemeClr w14:val="tx1"/>
            </w14:solidFill>
          </w14:textFill>
        </w:rPr>
        <w:t>体系</w:t>
      </w:r>
      <w:r>
        <w:rPr>
          <w:rFonts w:hint="eastAsia" w:ascii="仿宋" w:hAnsi="仿宋" w:eastAsia="仿宋" w:cs="仿宋"/>
          <w:color w:val="000000" w:themeColor="text1"/>
          <w:sz w:val="32"/>
          <w:szCs w:val="32"/>
          <w14:textFill>
            <w14:solidFill>
              <w14:schemeClr w14:val="tx1"/>
            </w14:solidFill>
          </w14:textFill>
        </w:rPr>
        <w:t>、精神卫生保健</w:t>
      </w:r>
      <w:r>
        <w:rPr>
          <w:rFonts w:hint="eastAsia" w:ascii="仿宋" w:hAnsi="仿宋" w:eastAsia="仿宋" w:cs="仿宋"/>
          <w:color w:val="000000" w:themeColor="text1"/>
          <w:sz w:val="32"/>
          <w:szCs w:val="32"/>
          <w:lang w:val="en-US" w:eastAsia="zh-CN"/>
          <w14:textFill>
            <w14:solidFill>
              <w14:schemeClr w14:val="tx1"/>
            </w14:solidFill>
          </w14:textFill>
        </w:rPr>
        <w:t>体系</w:t>
      </w:r>
      <w:r>
        <w:rPr>
          <w:rFonts w:hint="eastAsia" w:ascii="仿宋" w:hAnsi="仿宋" w:eastAsia="仿宋" w:cs="仿宋"/>
          <w:color w:val="000000" w:themeColor="text1"/>
          <w:sz w:val="32"/>
          <w:szCs w:val="32"/>
          <w14:textFill>
            <w14:solidFill>
              <w14:schemeClr w14:val="tx1"/>
            </w14:solidFill>
          </w14:textFill>
        </w:rPr>
        <w:t>建设，重视心理健康。深入开展爱国卫生运动，促进全民养成文明健康生活方式。</w:t>
      </w:r>
    </w:p>
    <w:p w14:paraId="46670C31">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稳妥推进医药卫生体制改革。</w:t>
      </w:r>
      <w:r>
        <w:rPr>
          <w:rFonts w:hint="eastAsia" w:ascii="仿宋" w:hAnsi="仿宋" w:eastAsia="仿宋" w:cs="仿宋"/>
          <w:color w:val="000000" w:themeColor="text1"/>
          <w:sz w:val="32"/>
          <w:szCs w:val="32"/>
          <w14:textFill>
            <w14:solidFill>
              <w14:schemeClr w14:val="tx1"/>
            </w14:solidFill>
          </w14:textFill>
        </w:rPr>
        <w:t>建立健全药品供应保障体系，基本药物制度覆盖城乡卫生机构，药品零差率覆盖全旗各级医疗机构。推进卫生监督体系建设，加强医院消杀、学校卫生等卫生执法能力建设，构建城乡联动的执法体系，实现综合卫生监督覆盖率达到100%。推进医疗卫生人才队伍建设，到2025年，力争每千人口拥有执业（助理）医师数3人，注册护士床护比1:0.</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人。</w:t>
      </w:r>
    </w:p>
    <w:p w14:paraId="5828FD4D">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加快卫生信息化建设。</w:t>
      </w:r>
      <w:r>
        <w:rPr>
          <w:rFonts w:hint="eastAsia" w:ascii="仿宋" w:hAnsi="仿宋" w:eastAsia="仿宋" w:cs="仿宋"/>
          <w:color w:val="000000" w:themeColor="text1"/>
          <w:sz w:val="32"/>
          <w:szCs w:val="32"/>
          <w14:textFill>
            <w14:solidFill>
              <w14:schemeClr w14:val="tx1"/>
            </w14:solidFill>
          </w14:textFill>
        </w:rPr>
        <w:t>建设扎赉特旗人口健康信息平台，实现与兴安盟人口健康信息平台对接。提升旗级医院信息化建设水平，推进基层医疗卫生信息化，全面实施居民健康卡工程，加强电子病历等数据应用，开展健康医疗信息惠民行动，完善卫生专网建设，实现盟旗乡级远程医疗。</w:t>
      </w:r>
    </w:p>
    <w:p w14:paraId="4ED53618">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139" w:name="_Toc4474"/>
      <w:bookmarkStart w:id="140" w:name="_Toc12529"/>
      <w:bookmarkStart w:id="141" w:name="_Toc25535"/>
      <w:r>
        <w:rPr>
          <w:rFonts w:hint="eastAsia" w:ascii="仿宋" w:hAnsi="仿宋" w:eastAsia="仿宋" w:cs="仿宋"/>
          <w:color w:val="000000" w:themeColor="text1"/>
          <w14:textFill>
            <w14:solidFill>
              <w14:schemeClr w14:val="tx1"/>
            </w14:solidFill>
          </w14:textFill>
        </w:rPr>
        <w:t xml:space="preserve">第四节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强化社会保障体系</w:t>
      </w:r>
      <w:bookmarkEnd w:id="139"/>
      <w:bookmarkEnd w:id="140"/>
      <w:bookmarkEnd w:id="141"/>
    </w:p>
    <w:p w14:paraId="6C57066E">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完善社会保险体系。</w:t>
      </w:r>
      <w:r>
        <w:rPr>
          <w:rFonts w:hint="eastAsia" w:ascii="仿宋" w:hAnsi="仿宋" w:eastAsia="仿宋" w:cs="仿宋"/>
          <w:color w:val="000000" w:themeColor="text1"/>
          <w:sz w:val="32"/>
          <w:szCs w:val="32"/>
          <w14:textFill>
            <w14:solidFill>
              <w14:schemeClr w14:val="tx1"/>
            </w14:solidFill>
          </w14:textFill>
        </w:rPr>
        <w:t>依法推进“五大险种”扩面征缴，继续巩固全民参保计划，实现应保尽保。全面推行养老保险线上缴费，实现线上办理社保业务，方便群众、提高效率。加强社会保障基础能力建设，实现社会保险关系转移接续和异地就医结算有序开展。加强</w:t>
      </w:r>
      <w:r>
        <w:rPr>
          <w:rFonts w:hint="eastAsia" w:ascii="仿宋" w:hAnsi="仿宋" w:eastAsia="仿宋" w:cs="仿宋"/>
          <w:color w:val="000000" w:themeColor="text1"/>
          <w:sz w:val="32"/>
          <w:szCs w:val="32"/>
          <w:lang w:eastAsia="zh-CN"/>
          <w14:textFill>
            <w14:solidFill>
              <w14:schemeClr w14:val="tx1"/>
            </w14:solidFill>
          </w14:textFill>
        </w:rPr>
        <w:t>社保</w:t>
      </w:r>
      <w:r>
        <w:rPr>
          <w:rFonts w:hint="eastAsia" w:ascii="仿宋" w:hAnsi="仿宋" w:eastAsia="仿宋" w:cs="仿宋"/>
          <w:color w:val="000000" w:themeColor="text1"/>
          <w:sz w:val="32"/>
          <w:szCs w:val="32"/>
          <w14:textFill>
            <w14:solidFill>
              <w14:schemeClr w14:val="tx1"/>
            </w14:solidFill>
          </w14:textFill>
        </w:rPr>
        <w:t>基金收支管理和监督，建立大数据公共信息共享服务平台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健全政策、经办、信息、监督“四位一体”的基金管理风险防控体系，确保各项业务顺利开展和基金安全平稳。到2025年，基本养老保险</w:t>
      </w:r>
      <w:r>
        <w:rPr>
          <w:rFonts w:hint="eastAsia" w:ascii="仿宋" w:hAnsi="仿宋" w:eastAsia="仿宋" w:cs="仿宋"/>
          <w:color w:val="000000" w:themeColor="text1"/>
          <w:sz w:val="32"/>
          <w:szCs w:val="32"/>
          <w:lang w:eastAsia="zh-CN"/>
          <w14:textFill>
            <w14:solidFill>
              <w14:schemeClr w14:val="tx1"/>
            </w14:solidFill>
          </w14:textFill>
        </w:rPr>
        <w:t>体系更加完善</w:t>
      </w:r>
      <w:r>
        <w:rPr>
          <w:rFonts w:hint="eastAsia" w:ascii="仿宋" w:hAnsi="仿宋" w:eastAsia="仿宋" w:cs="仿宋"/>
          <w:color w:val="000000" w:themeColor="text1"/>
          <w:sz w:val="32"/>
          <w:szCs w:val="32"/>
          <w14:textFill>
            <w14:solidFill>
              <w14:schemeClr w14:val="tx1"/>
            </w14:solidFill>
          </w14:textFill>
        </w:rPr>
        <w:t>。</w:t>
      </w:r>
    </w:p>
    <w:p w14:paraId="20CFA56C">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完善社会救助体系。</w:t>
      </w:r>
      <w:r>
        <w:rPr>
          <w:rFonts w:hint="eastAsia" w:ascii="仿宋" w:hAnsi="仿宋" w:eastAsia="仿宋" w:cs="仿宋"/>
          <w:color w:val="000000" w:themeColor="text1"/>
          <w:sz w:val="32"/>
          <w:szCs w:val="32"/>
          <w14:textFill>
            <w14:solidFill>
              <w14:schemeClr w14:val="tx1"/>
            </w14:solidFill>
          </w14:textFill>
        </w:rPr>
        <w:t>推进社会救助制度城乡统筹，推动低保标准与物价上涨挂钩联动，提高城乡居民最低生活保障、农牧区五保供养、残疾人两项补贴等底线民生保障水平，提高医疗救助标准，减少因病返贫。“十四五”期间，按照4%的增长幅度提高城乡低保保障标准和特困供养标准。完善儿童福利，引导社会力量参与，做好困境儿童养育安置，有效落实困境儿童就学资助和教育帮扶政策。全面落实“两金三制”制度，解决好农民工欠薪问题。支持残疾人事业发展，加强残疾人就业技能培训，启动建设残疾人康复中心，保障残疾人权益，加强城镇困难弱势群体帮扶救助，让每一个身处困境者都得到关爱和温暖。</w:t>
      </w:r>
    </w:p>
    <w:p w14:paraId="4F475D79">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健全退役军人服务保障体系。</w:t>
      </w:r>
      <w:r>
        <w:rPr>
          <w:rFonts w:hint="eastAsia" w:ascii="仿宋" w:hAnsi="仿宋" w:eastAsia="仿宋" w:cs="仿宋"/>
          <w:color w:val="000000" w:themeColor="text1"/>
          <w:sz w:val="32"/>
          <w:szCs w:val="32"/>
          <w14:textFill>
            <w14:solidFill>
              <w14:schemeClr w14:val="tx1"/>
            </w14:solidFill>
          </w14:textFill>
        </w:rPr>
        <w:t>积极落实抚恤优待政策，探索创新退役军人服务保障方式，做好退役军人和军转干部随调家属、军人随军家属安置工作，做好退役军人教育培训、表彰奖励和烈士褒扬纪念等工作，妥善解决伤病残退役军人的住房、医疗、康复、护理和生活困难，加强拥军优属工作，为军人和家属排忧解难。</w:t>
      </w:r>
    </w:p>
    <w:p w14:paraId="2B7CC04A">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142" w:name="_Toc7643"/>
      <w:bookmarkStart w:id="143" w:name="_Toc22089"/>
      <w:bookmarkStart w:id="144" w:name="_Toc26712"/>
      <w:r>
        <w:rPr>
          <w:rFonts w:hint="eastAsia" w:ascii="仿宋" w:hAnsi="仿宋" w:eastAsia="仿宋" w:cs="仿宋"/>
          <w:color w:val="000000" w:themeColor="text1"/>
          <w14:textFill>
            <w14:solidFill>
              <w14:schemeClr w14:val="tx1"/>
            </w14:solidFill>
          </w14:textFill>
        </w:rPr>
        <w:t>第五节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积极应对人口老龄化</w:t>
      </w:r>
      <w:bookmarkEnd w:id="142"/>
      <w:bookmarkEnd w:id="143"/>
      <w:bookmarkEnd w:id="144"/>
    </w:p>
    <w:p w14:paraId="5FFE8125">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完善多层次养老服务体系。</w:t>
      </w:r>
      <w:r>
        <w:rPr>
          <w:rFonts w:hint="eastAsia" w:ascii="仿宋" w:hAnsi="仿宋" w:eastAsia="仿宋" w:cs="仿宋"/>
          <w:color w:val="000000" w:themeColor="text1"/>
          <w:sz w:val="32"/>
          <w:szCs w:val="32"/>
          <w14:textFill>
            <w14:solidFill>
              <w14:schemeClr w14:val="tx1"/>
            </w14:solidFill>
          </w14:textFill>
        </w:rPr>
        <w:t>推动镇级敬老院升级改造，提升公办养老机构服务水平。鼓励发展社会养老，促进养老机构良性发展，通过引入专业社会组织和非营利机构，提升养老机构运营管理能力，实施专业养老护理员特殊津贴制度，提升人员水平，合理配置床位，提高养老机构入住率。完善日间照料服务中心建设和布局，打造“10-15分钟居家和社区养老服务圈”，提供居家上门服务，建立助餐、助洁、助浴、助行、助医、助急服务体系。鼓励互助养老，对确有需求的老人提供集中养老服务。培育和发展养老服务消费市场，</w:t>
      </w:r>
      <w:r>
        <w:rPr>
          <w:rFonts w:hint="eastAsia" w:ascii="仿宋" w:hAnsi="仿宋" w:eastAsia="仿宋" w:cs="仿宋"/>
          <w:color w:val="000000" w:themeColor="text1"/>
          <w:sz w:val="32"/>
          <w:szCs w:val="32"/>
          <w:lang w:val="en-US" w:eastAsia="zh-CN"/>
          <w14:textFill>
            <w14:solidFill>
              <w14:schemeClr w14:val="tx1"/>
            </w14:solidFill>
          </w14:textFill>
        </w:rPr>
        <w:t>加强老年服务市场监管。</w:t>
      </w:r>
    </w:p>
    <w:p w14:paraId="730B044E">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推进实施医养结合。</w:t>
      </w:r>
      <w:r>
        <w:rPr>
          <w:rFonts w:hint="eastAsia" w:ascii="仿宋" w:hAnsi="仿宋" w:eastAsia="仿宋" w:cs="仿宋"/>
          <w:color w:val="000000" w:themeColor="text1"/>
          <w:sz w:val="32"/>
          <w:szCs w:val="32"/>
          <w14:textFill>
            <w14:solidFill>
              <w14:schemeClr w14:val="tx1"/>
            </w14:solidFill>
          </w14:textFill>
        </w:rPr>
        <w:t>积极支持有条件的养老机构设置医疗机构，增加护理型床位数量和占比，依托旗人民医院和中医院建设老年病科，增加老年病床数量，家庭签约医生服务将老年人作为重点对象，开展上门诊治服务。加强康复医疗建设。</w:t>
      </w:r>
    </w:p>
    <w:p w14:paraId="7D4780FC">
      <w:pPr>
        <w:pageBreakBefore w:val="0"/>
        <w:widowControl w:val="0"/>
        <w:kinsoku/>
        <w:wordWrap/>
        <w:overflowPunct/>
        <w:topLinePunct w:val="0"/>
        <w:autoSpaceDE/>
        <w:autoSpaceDN/>
        <w:bidi w:val="0"/>
        <w:adjustRightInd/>
        <w:snapToGrid/>
        <w:spacing w:line="600" w:lineRule="exact"/>
        <w:ind w:firstLine="640"/>
        <w:jc w:val="center"/>
        <w:textAlignment w:val="auto"/>
        <w:outlineLvl w:val="1"/>
        <w:rPr>
          <w:rFonts w:hint="eastAsia" w:ascii="仿宋" w:hAnsi="仿宋" w:eastAsia="仿宋" w:cs="仿宋"/>
          <w:b/>
          <w:color w:val="000000" w:themeColor="text1"/>
          <w:sz w:val="32"/>
          <w:szCs w:val="32"/>
          <w:lang w:eastAsia="zh-CN"/>
          <w14:textFill>
            <w14:solidFill>
              <w14:schemeClr w14:val="tx1"/>
            </w14:solidFill>
          </w14:textFill>
        </w:rPr>
      </w:pPr>
      <w:bookmarkStart w:id="145" w:name="_Toc27404"/>
      <w:bookmarkStart w:id="146" w:name="_Toc2072"/>
      <w:bookmarkStart w:id="147" w:name="_Toc19409"/>
      <w:r>
        <w:rPr>
          <w:rFonts w:hint="eastAsia" w:ascii="仿宋" w:hAnsi="仿宋" w:eastAsia="仿宋" w:cs="仿宋"/>
          <w:b/>
          <w:color w:val="000000" w:themeColor="text1"/>
          <w:sz w:val="32"/>
          <w:szCs w:val="32"/>
          <w:lang w:eastAsia="zh-CN"/>
          <w14:textFill>
            <w14:solidFill>
              <w14:schemeClr w14:val="tx1"/>
            </w14:solidFill>
          </w14:textFill>
        </w:rPr>
        <w:t>第六节　</w:t>
      </w:r>
      <w:r>
        <w:rPr>
          <w:rFonts w:hint="eastAsia" w:ascii="仿宋" w:hAnsi="仿宋" w:eastAsia="仿宋" w:cs="仿宋"/>
          <w:b/>
          <w:color w:val="000000" w:themeColor="text1"/>
          <w:sz w:val="32"/>
          <w:szCs w:val="32"/>
          <w14:textFill>
            <w14:solidFill>
              <w14:schemeClr w14:val="tx1"/>
            </w14:solidFill>
          </w14:textFill>
        </w:rPr>
        <w:t>加强妇女儿童权益保护</w:t>
      </w:r>
      <w:bookmarkEnd w:id="145"/>
      <w:bookmarkEnd w:id="146"/>
      <w:bookmarkEnd w:id="147"/>
    </w:p>
    <w:p w14:paraId="66015C4A">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提高优生优育服务水平，提高对已婚育龄妇女的综合服务能力，实施出生缺陷干预工程，倡导科学婚孕检，提高出生人口素质。发展普惠托育服务体系，引导社会资本提供普惠性托育服务，推动设施规范化、标准化建设，逐步形成普惠服务为主、多层次、多样化的托育服务体系，降低生育、养育、教育成本。</w:t>
      </w:r>
    </w:p>
    <w:p w14:paraId="30373663">
      <w:pPr>
        <w:pStyle w:val="4"/>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themeColor="text1"/>
          <w14:textFill>
            <w14:solidFill>
              <w14:schemeClr w14:val="tx1"/>
            </w14:solidFill>
          </w14:textFill>
        </w:rPr>
      </w:pPr>
      <w:bookmarkStart w:id="148" w:name="_Toc32407"/>
      <w:bookmarkStart w:id="149" w:name="_Toc21339"/>
      <w:bookmarkStart w:id="150" w:name="_Toc25308"/>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eastAsia="zh-CN"/>
          <w14:textFill>
            <w14:solidFill>
              <w14:schemeClr w14:val="tx1"/>
            </w14:solidFill>
          </w14:textFill>
        </w:rPr>
        <w:t>七</w:t>
      </w:r>
      <w:r>
        <w:rPr>
          <w:rFonts w:hint="eastAsia" w:ascii="仿宋" w:hAnsi="仿宋" w:eastAsia="仿宋" w:cs="仿宋"/>
          <w:color w:val="000000" w:themeColor="text1"/>
          <w14:textFill>
            <w14:solidFill>
              <w14:schemeClr w14:val="tx1"/>
            </w14:solidFill>
          </w14:textFill>
        </w:rPr>
        <w:t xml:space="preserve">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提高全民科学素质</w:t>
      </w:r>
      <w:bookmarkEnd w:id="148"/>
      <w:bookmarkEnd w:id="149"/>
      <w:bookmarkEnd w:id="150"/>
    </w:p>
    <w:p w14:paraId="0F63DDBE">
      <w:pPr>
        <w:pageBreakBefore w:val="0"/>
        <w:widowControl w:val="0"/>
        <w:kinsoku/>
        <w:wordWrap/>
        <w:overflowPunct/>
        <w:topLinePunct w:val="0"/>
        <w:autoSpaceDE/>
        <w:autoSpaceDN/>
        <w:bidi w:val="0"/>
        <w:adjustRightInd/>
        <w:snapToGrid/>
        <w:spacing w:line="600" w:lineRule="exact"/>
        <w:ind w:firstLine="665"/>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充分发挥全民科学素质工作在实施创新驱动发展战略中的基础作用，激发大众创业创新的热情和潜力，为全旗“十四五”期间经济社会发展提供技术支撑和智力支持。实施好“科技教育与培训工程、社区科普益民工程、科普信息化工程、科普基础设施工程、科普产业助力工程、科普人才建设工程”等六大工程，到2025年，我旗科学技术教育、传播与普及有明显发展，公民科学素质大幅度提高，公众科学素养比例达到13%，2035年达到20%以上。</w:t>
      </w:r>
    </w:p>
    <w:tbl>
      <w:tblPr>
        <w:tblStyle w:val="13"/>
        <w:tblW w:w="8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5F7E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8360" w:type="dxa"/>
            <w:tcBorders>
              <w:top w:val="single" w:color="auto" w:sz="4" w:space="0"/>
              <w:left w:val="single" w:color="auto" w:sz="4" w:space="0"/>
              <w:bottom w:val="single" w:color="auto" w:sz="4" w:space="0"/>
              <w:right w:val="single" w:color="auto" w:sz="4" w:space="0"/>
            </w:tcBorders>
          </w:tcPr>
          <w:p w14:paraId="054E455F">
            <w:pPr>
              <w:widowControl w:val="0"/>
              <w:spacing w:line="360" w:lineRule="auto"/>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w:t>
            </w: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8</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：“十四五”民生事业重点项目</w:t>
            </w:r>
          </w:p>
          <w:p w14:paraId="56BC7319">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音德尔第十小学：校舍10000平方米及附属设备</w:t>
            </w:r>
          </w:p>
          <w:p w14:paraId="36CFF8F6">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音德尔第二中学扩建：教学楼6000平方米、宿舍楼3000平方米、餐厅3000平方米、综合体育馆5000平方米。</w:t>
            </w:r>
          </w:p>
          <w:p w14:paraId="12555049">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音德尔第三中学扩建：实验楼3000平方米。</w:t>
            </w:r>
          </w:p>
          <w:p w14:paraId="78F253CC">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音德尔第六中学扩建：教学楼4200平方米、宿舍楼4400平方米、餐厅3650平方米。</w:t>
            </w:r>
          </w:p>
          <w:p w14:paraId="1992BD7F">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扎赉特旗中等职业学校：教学楼6000平方米、宿舍楼6000平方米、餐厅3500平方米。</w:t>
            </w:r>
          </w:p>
          <w:p w14:paraId="02B7BFBE">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扎赉特旗人民医院扩建：门诊楼12000平方米、病房楼24000平方米、传染病区3000平方米、“平疫结合”可转换病区10000平方米。</w:t>
            </w:r>
          </w:p>
          <w:p w14:paraId="61A4C2AC">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扎赉特旗中医院改扩建：门诊病房综合楼14222平方米。</w:t>
            </w:r>
          </w:p>
          <w:p w14:paraId="491DED75">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残疾人康复中心：建筑面积4800平方米，</w:t>
            </w: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对楼房进行改造和购置配套相关设施。</w:t>
            </w:r>
          </w:p>
          <w:p w14:paraId="25B85444">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音德尔全民健身体育馆：</w:t>
            </w: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总建筑面积9827.19 平方米，建筑主体为地上二层，提供篮球、排球、羽毛球、乒乓球场地、全民健身体质 检测大厅、健身房及内部办公区。</w:t>
            </w:r>
          </w:p>
          <w:p w14:paraId="571C5872">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新生活养护院：</w:t>
            </w: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建筑面积13350平方米，建设300张床位。</w:t>
            </w:r>
          </w:p>
          <w:p w14:paraId="75D07D06">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烈士纪念广场：</w:t>
            </w: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建筑面积4240平方米，包括烈士纪念碑一座、停车场、公共纪念场地、管护房、烈士骨灰堂、烈士英名墙、步行道硬化等。</w:t>
            </w:r>
          </w:p>
          <w:p w14:paraId="1EC23F85">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应急指挥中心：建筑面积3000平方米。</w:t>
            </w:r>
          </w:p>
          <w:p w14:paraId="1742821D">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旗青少年科技馆扩建工程：</w:t>
            </w:r>
          </w:p>
          <w:p w14:paraId="7D1D488E">
            <w:pPr>
              <w:widowControl w:val="0"/>
              <w:numPr>
                <w:ilvl w:val="0"/>
                <w:numId w:val="9"/>
              </w:numPr>
              <w:spacing w:line="360" w:lineRule="auto"/>
              <w:jc w:val="both"/>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公共实训基地：</w:t>
            </w: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总建筑面积5000平方米，包括相应的培训教室、实验室和实训场地。</w:t>
            </w:r>
          </w:p>
        </w:tc>
      </w:tr>
      <w:bookmarkEnd w:id="129"/>
    </w:tbl>
    <w:p w14:paraId="3AC0A17A">
      <w:pPr>
        <w:bidi w:val="0"/>
        <w:rPr>
          <w:rFonts w:hint="eastAsia"/>
        </w:rPr>
      </w:pPr>
    </w:p>
    <w:p w14:paraId="6FF8ED75">
      <w:pPr>
        <w:bidi w:val="0"/>
        <w:rPr>
          <w:rFonts w:hint="eastAsia"/>
        </w:rPr>
      </w:pPr>
      <w:bookmarkStart w:id="151" w:name="_Toc61280860"/>
    </w:p>
    <w:p w14:paraId="22934F07">
      <w:pPr>
        <w:bidi w:val="0"/>
        <w:rPr>
          <w:rFonts w:hint="eastAsia"/>
        </w:rPr>
      </w:pPr>
    </w:p>
    <w:p w14:paraId="04749A9F">
      <w:pPr>
        <w:bidi w:val="0"/>
        <w:rPr>
          <w:rFonts w:hint="eastAsia"/>
        </w:rPr>
      </w:pPr>
    </w:p>
    <w:p w14:paraId="2F04E025">
      <w:pPr>
        <w:bidi w:val="0"/>
        <w:rPr>
          <w:rFonts w:hint="eastAsia"/>
        </w:rPr>
      </w:pPr>
    </w:p>
    <w:p w14:paraId="3A6063E3">
      <w:pPr>
        <w:bidi w:val="0"/>
        <w:rPr>
          <w:rFonts w:hint="eastAsia"/>
        </w:rPr>
      </w:pPr>
    </w:p>
    <w:p w14:paraId="0EB5E2B3">
      <w:pPr>
        <w:bidi w:val="0"/>
        <w:rPr>
          <w:rFonts w:hint="eastAsia"/>
        </w:rPr>
      </w:pPr>
    </w:p>
    <w:p w14:paraId="20EDF96D">
      <w:pPr>
        <w:bidi w:val="0"/>
        <w:rPr>
          <w:rFonts w:hint="eastAsia"/>
        </w:rPr>
      </w:pPr>
    </w:p>
    <w:p w14:paraId="0E1C5922">
      <w:pPr>
        <w:bidi w:val="0"/>
        <w:rPr>
          <w:rFonts w:hint="eastAsia"/>
        </w:rPr>
      </w:pPr>
    </w:p>
    <w:p w14:paraId="5FE64A3E">
      <w:pPr>
        <w:bidi w:val="0"/>
        <w:rPr>
          <w:rFonts w:hint="eastAsia"/>
        </w:rPr>
      </w:pPr>
    </w:p>
    <w:p w14:paraId="0B085011">
      <w:pPr>
        <w:bidi w:val="0"/>
        <w:rPr>
          <w:rFonts w:hint="eastAsia"/>
        </w:rPr>
      </w:pPr>
    </w:p>
    <w:p w14:paraId="0ED0EC70">
      <w:pPr>
        <w:bidi w:val="0"/>
        <w:rPr>
          <w:rFonts w:hint="eastAsia"/>
        </w:rPr>
      </w:pPr>
    </w:p>
    <w:p w14:paraId="06687CC0">
      <w:pPr>
        <w:bidi w:val="0"/>
        <w:rPr>
          <w:rFonts w:hint="eastAsia"/>
        </w:rPr>
      </w:pPr>
    </w:p>
    <w:p w14:paraId="78D45192">
      <w:pPr>
        <w:bidi w:val="0"/>
        <w:rPr>
          <w:rFonts w:hint="eastAsia"/>
        </w:rPr>
      </w:pPr>
    </w:p>
    <w:p w14:paraId="43825B36">
      <w:pPr>
        <w:bidi w:val="0"/>
        <w:rPr>
          <w:rFonts w:hint="eastAsia"/>
        </w:rPr>
      </w:pPr>
      <w:bookmarkStart w:id="152" w:name="_Toc16070"/>
      <w:bookmarkStart w:id="153" w:name="_Toc11331"/>
      <w:bookmarkStart w:id="154" w:name="_Toc4100_WPSOffice_Level1"/>
      <w:bookmarkStart w:id="155" w:name="_Toc18359"/>
    </w:p>
    <w:p w14:paraId="45F2D5F4">
      <w:pPr>
        <w:bidi w:val="0"/>
        <w:rPr>
          <w:rFonts w:hint="eastAsia"/>
        </w:rPr>
      </w:pPr>
    </w:p>
    <w:p w14:paraId="41FFDB5F">
      <w:pPr>
        <w:pStyle w:val="2"/>
        <w:rPr>
          <w:rFonts w:hint="eastAsia"/>
        </w:rPr>
      </w:pPr>
    </w:p>
    <w:p w14:paraId="69FF8D01">
      <w:pPr>
        <w:pStyle w:val="2"/>
        <w:rPr>
          <w:rFonts w:hint="eastAsia"/>
        </w:rPr>
      </w:pPr>
    </w:p>
    <w:p w14:paraId="4A34BC90">
      <w:pPr>
        <w:pStyle w:val="2"/>
        <w:rPr>
          <w:rFonts w:hint="eastAsia"/>
        </w:rPr>
      </w:pPr>
    </w:p>
    <w:p w14:paraId="2AD85B19">
      <w:pPr>
        <w:pStyle w:val="2"/>
        <w:rPr>
          <w:rFonts w:hint="eastAsia"/>
        </w:rPr>
      </w:pPr>
    </w:p>
    <w:p w14:paraId="1BDDE389">
      <w:pPr>
        <w:bidi w:val="0"/>
        <w:rPr>
          <w:rFonts w:hint="eastAsia"/>
        </w:rPr>
      </w:pPr>
    </w:p>
    <w:p w14:paraId="6BF03CD9">
      <w:pPr>
        <w:bidi w:val="0"/>
        <w:rPr>
          <w:rFonts w:hint="eastAsia"/>
        </w:rPr>
      </w:pPr>
    </w:p>
    <w:p w14:paraId="46BF53AE">
      <w:pPr>
        <w:bidi w:val="0"/>
        <w:rPr>
          <w:rFonts w:hint="eastAsia"/>
        </w:rPr>
      </w:pPr>
    </w:p>
    <w:p w14:paraId="51F0B3D2">
      <w:pPr>
        <w:pStyle w:val="3"/>
        <w:pageBreakBefore w:val="0"/>
        <w:kinsoku/>
        <w:wordWrap/>
        <w:overflowPunct/>
        <w:topLinePunct w:val="0"/>
        <w:bidi w:val="0"/>
        <w:snapToGrid/>
        <w:spacing w:before="0" w:beforeLines="0" w:after="0" w:afterLines="0" w:line="600" w:lineRule="exact"/>
        <w:ind w:firstLine="0" w:firstLineChars="0"/>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第六章  深化改革合作　构筑清新扎赉特</w:t>
      </w:r>
      <w:bookmarkEnd w:id="152"/>
      <w:bookmarkEnd w:id="153"/>
      <w:bookmarkEnd w:id="154"/>
      <w:bookmarkEnd w:id="155"/>
    </w:p>
    <w:p w14:paraId="340F1F41">
      <w:pPr>
        <w:pageBreakBefore w:val="0"/>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p>
    <w:p w14:paraId="0F267B95">
      <w:pPr>
        <w:pStyle w:val="4"/>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14:textFill>
            <w14:solidFill>
              <w14:schemeClr w14:val="tx1"/>
            </w14:solidFill>
          </w14:textFill>
        </w:rPr>
      </w:pPr>
      <w:bookmarkStart w:id="156" w:name="_Toc27558"/>
      <w:bookmarkStart w:id="157" w:name="_Toc31965"/>
      <w:bookmarkStart w:id="158" w:name="_Toc19449"/>
      <w:r>
        <w:rPr>
          <w:rFonts w:hint="eastAsia" w:ascii="仿宋" w:hAnsi="仿宋" w:eastAsia="仿宋" w:cs="仿宋"/>
          <w:color w:val="000000" w:themeColor="text1"/>
          <w14:textFill>
            <w14:solidFill>
              <w14:schemeClr w14:val="tx1"/>
            </w14:solidFill>
          </w14:textFill>
        </w:rPr>
        <w:t xml:space="preserve">第一节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深化农村牧区改革</w:t>
      </w:r>
      <w:bookmarkEnd w:id="156"/>
      <w:bookmarkEnd w:id="157"/>
      <w:bookmarkEnd w:id="158"/>
    </w:p>
    <w:p w14:paraId="4B8DB42C">
      <w:pPr>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深化农村牧区土地制度改革。</w:t>
      </w:r>
      <w:r>
        <w:rPr>
          <w:rFonts w:hint="eastAsia" w:ascii="仿宋" w:hAnsi="仿宋" w:eastAsia="仿宋" w:cs="仿宋"/>
          <w:color w:val="000000" w:themeColor="text1"/>
          <w:sz w:val="32"/>
          <w:szCs w:val="32"/>
          <w14:textFill>
            <w14:solidFill>
              <w14:schemeClr w14:val="tx1"/>
            </w14:solidFill>
          </w14:textFill>
        </w:rPr>
        <w:t>衔接落实好第二轮土地承包到期后再延长30年的政策，探索“三权”分置的有效实现形式。</w:t>
      </w:r>
      <w:r>
        <w:rPr>
          <w:rFonts w:hint="eastAsia" w:ascii="仿宋" w:hAnsi="仿宋" w:eastAsia="仿宋" w:cs="仿宋"/>
          <w:color w:val="000000" w:themeColor="text1"/>
          <w:sz w:val="32"/>
          <w:szCs w:val="32"/>
          <w:lang w:val="en-US" w:eastAsia="zh-CN"/>
          <w14:textFill>
            <w14:solidFill>
              <w14:schemeClr w14:val="tx1"/>
            </w14:solidFill>
          </w14:textFill>
        </w:rPr>
        <w:t>推动开展</w:t>
      </w:r>
      <w:r>
        <w:rPr>
          <w:rFonts w:hint="eastAsia" w:ascii="仿宋" w:hAnsi="仿宋" w:eastAsia="仿宋" w:cs="仿宋"/>
          <w:color w:val="000000" w:themeColor="text1"/>
          <w:sz w:val="32"/>
          <w:szCs w:val="32"/>
          <w14:textFill>
            <w14:solidFill>
              <w14:schemeClr w14:val="tx1"/>
            </w14:solidFill>
          </w14:textFill>
        </w:rPr>
        <w:t>土地经营权担保融资。继续抓好农村土地征收制度、农村集体经营性建设用地入市和农村宅基地制度三项改革试点工作。坚持农地农用，不得以退出承包地和宅基地作为农牧民进城落户条件，切实保障农牧民土地权益。加快推进宅基地使用权确权登记颁证工作，力争2025年基本完成。</w:t>
      </w:r>
    </w:p>
    <w:p w14:paraId="220004BB">
      <w:pPr>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巩固和完善农村牧区基本经营制度。</w:t>
      </w:r>
      <w:r>
        <w:rPr>
          <w:rFonts w:hint="eastAsia" w:ascii="仿宋" w:hAnsi="仿宋" w:eastAsia="仿宋" w:cs="仿宋"/>
          <w:color w:val="000000" w:themeColor="text1"/>
          <w:sz w:val="32"/>
          <w:szCs w:val="32"/>
          <w14:textFill>
            <w14:solidFill>
              <w14:schemeClr w14:val="tx1"/>
            </w14:solidFill>
          </w14:textFill>
        </w:rPr>
        <w:t>加快发展家庭农牧场和农牧民合作社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启动家庭农牧场培育计划，到2025年全旗家庭农牧场和专业大户达到1.6万个以上。开展农牧民合作社规范提升行动，鼓励依法组建共同出资、共创品牌、共享利益的合作社联合社。</w:t>
      </w:r>
    </w:p>
    <w:p w14:paraId="7BC9B6C0">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bookmarkStart w:id="159" w:name="_Toc4854"/>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推进农村牧区集体产权制度改革</w:t>
      </w:r>
      <w:bookmarkEnd w:id="159"/>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积极探索资产租赁、乡村旅游、合资合作、股份经营等多种形式的集体经济发展路子。完善农村牧区集体产权权能，积极探索集体资产股权质押贷款办法。健全完善农村牧区产权流转交易市场，推动农村牧区各类产权流转交易公开规范运行。</w:t>
      </w:r>
    </w:p>
    <w:p w14:paraId="29A85294">
      <w:pPr>
        <w:pStyle w:val="4"/>
        <w:pageBreakBefore w:val="0"/>
        <w:kinsoku/>
        <w:wordWrap/>
        <w:overflowPunct/>
        <w:topLinePunct w:val="0"/>
        <w:bidi w:val="0"/>
        <w:snapToGrid/>
        <w:spacing w:line="600" w:lineRule="exact"/>
        <w:ind w:firstLine="640"/>
        <w:textAlignment w:val="auto"/>
        <w:rPr>
          <w:rFonts w:hint="eastAsia" w:ascii="仿宋" w:hAnsi="仿宋" w:eastAsia="仿宋" w:cs="仿宋"/>
          <w:color w:val="000000" w:themeColor="text1"/>
          <w14:textFill>
            <w14:solidFill>
              <w14:schemeClr w14:val="tx1"/>
            </w14:solidFill>
          </w14:textFill>
        </w:rPr>
      </w:pPr>
      <w:bookmarkStart w:id="160" w:name="_Toc17701"/>
      <w:bookmarkStart w:id="161" w:name="_Toc8097"/>
      <w:bookmarkStart w:id="162" w:name="_Toc18845"/>
      <w:r>
        <w:rPr>
          <w:rFonts w:hint="eastAsia" w:ascii="仿宋" w:hAnsi="仿宋" w:eastAsia="仿宋" w:cs="仿宋"/>
          <w:color w:val="000000" w:themeColor="text1"/>
          <w14:textFill>
            <w14:solidFill>
              <w14:schemeClr w14:val="tx1"/>
            </w14:solidFill>
          </w14:textFill>
        </w:rPr>
        <w:t xml:space="preserve">第二节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深化行政管理体制改革</w:t>
      </w:r>
      <w:bookmarkEnd w:id="160"/>
      <w:bookmarkEnd w:id="161"/>
      <w:bookmarkEnd w:id="162"/>
    </w:p>
    <w:p w14:paraId="483A8414">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放开城镇落户，简化户政办理程序。进一步优化行政审批事项流程，学习借鉴“街乡吹哨、部门报到”等先进经验，促进旗各部门下沉苏木乡镇、部分偏远嘎查村开展政务服务。完善旗政务服务局与各业务委办局之间的工作协调机制，厘清职能边界，</w:t>
      </w:r>
      <w:r>
        <w:rPr>
          <w:rFonts w:hint="eastAsia" w:ascii="仿宋" w:hAnsi="仿宋" w:eastAsia="仿宋" w:cs="仿宋"/>
          <w:color w:val="000000" w:themeColor="text1"/>
          <w:sz w:val="32"/>
          <w:szCs w:val="32"/>
          <w:lang w:val="en-US" w:eastAsia="zh-CN"/>
          <w14:textFill>
            <w14:solidFill>
              <w14:schemeClr w14:val="tx1"/>
            </w14:solidFill>
          </w14:textFill>
        </w:rPr>
        <w:t>提高</w:t>
      </w:r>
      <w:r>
        <w:rPr>
          <w:rFonts w:hint="eastAsia" w:ascii="仿宋" w:hAnsi="仿宋" w:eastAsia="仿宋" w:cs="仿宋"/>
          <w:color w:val="000000" w:themeColor="text1"/>
          <w:sz w:val="32"/>
          <w:szCs w:val="32"/>
          <w14:textFill>
            <w14:solidFill>
              <w14:schemeClr w14:val="tx1"/>
            </w14:solidFill>
          </w14:textFill>
        </w:rPr>
        <w:t>行政审批流程</w:t>
      </w:r>
      <w:r>
        <w:rPr>
          <w:rFonts w:hint="eastAsia" w:ascii="仿宋" w:hAnsi="仿宋" w:eastAsia="仿宋" w:cs="仿宋"/>
          <w:color w:val="000000" w:themeColor="text1"/>
          <w:sz w:val="32"/>
          <w:szCs w:val="32"/>
          <w:lang w:val="en-US" w:eastAsia="zh-CN"/>
          <w14:textFill>
            <w14:solidFill>
              <w14:schemeClr w14:val="tx1"/>
            </w14:solidFill>
          </w14:textFill>
        </w:rPr>
        <w:t>效率</w:t>
      </w:r>
      <w:r>
        <w:rPr>
          <w:rFonts w:hint="eastAsia" w:ascii="仿宋" w:hAnsi="仿宋" w:eastAsia="仿宋" w:cs="仿宋"/>
          <w:color w:val="000000" w:themeColor="text1"/>
          <w:sz w:val="32"/>
          <w:szCs w:val="32"/>
          <w14:textFill>
            <w14:solidFill>
              <w14:schemeClr w14:val="tx1"/>
            </w14:solidFill>
          </w14:textFill>
        </w:rPr>
        <w:t>。在南部、西北部、北部等较远的苏木乡镇和主要园区、自然保护区、旅游景区等设立旗政务服务中心业务办理点，采取代收代办、远程视频办理等方式，让数据多跑路、群众少跑腿。在“互联网+政务服务”领域探索开展政企协作，吸引金融机构、电商物流企业投资，在苏木乡镇（场）建设智能终端，实现数字政务服务、金融保险服务、电商物流服务的全覆盖，增强对偏远地区企业和群众的普遍服务能力。</w:t>
      </w:r>
    </w:p>
    <w:p w14:paraId="6866F73C">
      <w:pPr>
        <w:pStyle w:val="4"/>
        <w:pageBreakBefore w:val="0"/>
        <w:kinsoku/>
        <w:wordWrap/>
        <w:overflowPunct/>
        <w:topLinePunct w:val="0"/>
        <w:bidi w:val="0"/>
        <w:snapToGrid/>
        <w:spacing w:line="600" w:lineRule="exact"/>
        <w:textAlignment w:val="auto"/>
        <w:rPr>
          <w:rFonts w:hint="eastAsia" w:ascii="仿宋" w:hAnsi="仿宋" w:eastAsia="仿宋" w:cs="仿宋"/>
          <w:b w:val="0"/>
          <w:bCs w:val="0"/>
          <w:color w:val="000000" w:themeColor="text1"/>
          <w14:textFill>
            <w14:solidFill>
              <w14:schemeClr w14:val="tx1"/>
            </w14:solidFill>
          </w14:textFill>
        </w:rPr>
      </w:pPr>
      <w:bookmarkStart w:id="163" w:name="_Toc13841"/>
      <w:bookmarkStart w:id="164" w:name="_Toc1411"/>
      <w:bookmarkStart w:id="165" w:name="_Toc29279"/>
      <w:r>
        <w:rPr>
          <w:rFonts w:hint="eastAsia" w:ascii="仿宋" w:hAnsi="仿宋" w:eastAsia="仿宋" w:cs="仿宋"/>
          <w:color w:val="000000" w:themeColor="text1"/>
          <w14:textFill>
            <w14:solidFill>
              <w14:schemeClr w14:val="tx1"/>
            </w14:solidFill>
          </w14:textFill>
        </w:rPr>
        <w:t xml:space="preserve">第三节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"_Toc428877160"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创新财税金融机制</w:t>
      </w:r>
      <w:r>
        <w:rPr>
          <w:rFonts w:hint="eastAsia" w:ascii="仿宋" w:hAnsi="仿宋" w:eastAsia="仿宋" w:cs="仿宋"/>
          <w:color w:val="000000" w:themeColor="text1"/>
          <w14:textFill>
            <w14:solidFill>
              <w14:schemeClr w14:val="tx1"/>
            </w14:solidFill>
          </w14:textFill>
        </w:rPr>
        <w:fldChar w:fldCharType="end"/>
      </w:r>
      <w:bookmarkEnd w:id="163"/>
      <w:bookmarkEnd w:id="164"/>
      <w:bookmarkEnd w:id="165"/>
    </w:p>
    <w:p w14:paraId="6E03ED72">
      <w:pPr>
        <w:pStyle w:val="7"/>
        <w:pageBreakBefore w:val="0"/>
        <w:kinsoku/>
        <w:wordWrap/>
        <w:overflowPunct/>
        <w:topLinePunct w:val="0"/>
        <w:bidi w:val="0"/>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改革财政管理模式。</w:t>
      </w:r>
      <w:r>
        <w:rPr>
          <w:rFonts w:hint="eastAsia" w:ascii="仿宋" w:hAnsi="仿宋" w:eastAsia="仿宋" w:cs="仿宋"/>
          <w:color w:val="000000" w:themeColor="text1"/>
          <w:sz w:val="32"/>
          <w:szCs w:val="32"/>
          <w14:textFill>
            <w14:solidFill>
              <w14:schemeClr w14:val="tx1"/>
            </w14:solidFill>
          </w14:textFill>
        </w:rPr>
        <w:t>构建财政事权清晰、服务社会公共需要、管理科学规范的公共财政体系，探索建立符合社会事业发展特点的财政投入机制。注重改善民生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强调均等普惠的财政支出导向，积极参与社会保障、医药卫生、义务教育等领域的改革，推动财政支出向民生转型。探索中期财政规划管理，建立跨年度预算平衡机制。建立事权和支出责任相适应的财政分配制度，建立和完善旗镇基本财力保障机制，落实村级组织运转保障政策，激发基层活力。规范地方政府债务管理，合理控制债务余额的规模和增长速度，确保债务规模与地方经济发展水平相适应。</w:t>
      </w:r>
    </w:p>
    <w:p w14:paraId="0C71D4BC">
      <w:pPr>
        <w:widowControl w:val="0"/>
        <w:spacing w:line="360" w:lineRule="auto"/>
        <w:ind w:firstLine="640"/>
        <w:jc w:val="both"/>
        <w:rPr>
          <w:rFonts w:hint="eastAsia" w:ascii="仿宋" w:hAnsi="仿宋" w:eastAsia="仿宋" w:cs="仿宋"/>
          <w:color w:val="000000" w:themeColor="text1"/>
          <w:sz w:val="32"/>
          <w:szCs w:val="32"/>
          <w14:textFill>
            <w14:solidFill>
              <w14:schemeClr w14:val="tx1"/>
            </w14:solidFill>
          </w14:textFill>
        </w:rPr>
      </w:pPr>
      <w:r>
        <w:rPr>
          <w:rFonts w:hint="eastAsia" w:ascii="Times New Roman" w:hAnsi="Times New Roman" w:eastAsia="仿宋_GB2312" w:cs="Times New Roman"/>
          <w:b/>
          <w:kern w:val="2"/>
          <w:sz w:val="32"/>
          <w:szCs w:val="32"/>
          <w:lang w:val="en-US" w:eastAsia="zh-CN" w:bidi="ar-SA"/>
        </w:rPr>
        <w:t>创新地方金融体制机制。</w:t>
      </w:r>
      <w:r>
        <w:rPr>
          <w:rFonts w:hint="eastAsia" w:ascii="Times New Roman" w:hAnsi="Times New Roman" w:eastAsia="仿宋_GB2312" w:cs="Times New Roman"/>
          <w:kern w:val="2"/>
          <w:sz w:val="32"/>
          <w:szCs w:val="32"/>
          <w:lang w:val="en-US" w:eastAsia="zh-CN" w:bidi="ar-SA"/>
        </w:rPr>
        <w:t>围绕服务实体经济，大力发展普惠金融、绿色金融，积极推进金融产品和服务创新。引导民间资本参股、投资金融机构及融资中介服务机构</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鼓励社会资本参与发起设立村镇银行，扶持农业信贷担保组织，扩大农村担保品范围。鼓励和吸引社会资本参与基础设施、公共服务等领域建设，通过市场化手段破解发展瓶颈，全力增强城镇发展要素保障。加大金融监管力度，打击涉众涉稳不法金融活动，持续优化金融生态环境。加强社会信用体系建设，规范民间融资，有效保护金融债权，完善金融风险监测、评估、预警和快速反应机制，进一步营造规范有序、稳定安全的金融发展环境。</w:t>
      </w:r>
    </w:p>
    <w:p w14:paraId="2D912A52">
      <w:pPr>
        <w:pStyle w:val="4"/>
        <w:pageBreakBefore w:val="0"/>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166" w:name="_Toc26230"/>
      <w:bookmarkStart w:id="167" w:name="_Toc31615"/>
      <w:bookmarkStart w:id="168" w:name="_Toc1492"/>
      <w:r>
        <w:rPr>
          <w:rFonts w:hint="eastAsia" w:ascii="仿宋" w:hAnsi="仿宋" w:eastAsia="仿宋" w:cs="仿宋"/>
          <w:color w:val="000000" w:themeColor="text1"/>
          <w14:textFill>
            <w14:solidFill>
              <w14:schemeClr w14:val="tx1"/>
            </w14:solidFill>
          </w14:textFill>
        </w:rPr>
        <w:t xml:space="preserve">第四节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优化营商环境</w:t>
      </w:r>
      <w:bookmarkEnd w:id="166"/>
      <w:bookmarkEnd w:id="167"/>
      <w:bookmarkEnd w:id="168"/>
    </w:p>
    <w:p w14:paraId="48DB9D49">
      <w:pPr>
        <w:pageBreakBefore w:val="0"/>
        <w:kinsoku/>
        <w:wordWrap/>
        <w:overflowPunct/>
        <w:topLinePunct w:val="0"/>
        <w:bidi w:val="0"/>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sz w:val="34"/>
          <w:szCs w:val="34"/>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激发各类市场主体发展活力。</w:t>
      </w:r>
      <w:r>
        <w:rPr>
          <w:rFonts w:hint="eastAsia" w:ascii="仿宋" w:hAnsi="仿宋" w:eastAsia="仿宋" w:cs="仿宋"/>
          <w:color w:val="000000" w:themeColor="text1"/>
          <w:sz w:val="32"/>
          <w:szCs w:val="32"/>
          <w14:textFill>
            <w14:solidFill>
              <w14:schemeClr w14:val="tx1"/>
            </w14:solidFill>
          </w14:textFill>
        </w:rPr>
        <w:t>大力支持民营经济发展，健全支持民营企业发展的市场、法治和社会环境，设身处地为企业排忧解难、精准服务。以“店小二”的服务意识，全力帮扶中小微企业和个体工商户，为经济发展留住青山、厚植基础。按照国家产业指导目录，实施产业发展分类指导政策，促进鼓励类产业发展壮大和规模集聚。除法律法规禁止的行业外，投资领域一律向民间资本开放。支持民间资本通过参股、并购、合资、合作、独资、特许经营等方式投资基础设施建设和社会事业领域。完善政府向社会购买服务机制，扩大政府服务项目采购领域。全面落实降低企业制度性交易成本、税费、保险费、财务成本、物流成本、要素成本等政策。</w:t>
      </w:r>
    </w:p>
    <w:p w14:paraId="0305BA46">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深化放管服改革。</w:t>
      </w:r>
      <w:r>
        <w:rPr>
          <w:rFonts w:hint="eastAsia" w:ascii="仿宋" w:hAnsi="仿宋" w:eastAsia="仿宋" w:cs="仿宋"/>
          <w:color w:val="000000" w:themeColor="text1"/>
          <w:sz w:val="34"/>
          <w:szCs w:val="34"/>
          <w14:textFill>
            <w14:solidFill>
              <w14:schemeClr w14:val="tx1"/>
            </w14:solidFill>
          </w14:textFill>
        </w:rPr>
        <w:t>精</w:t>
      </w:r>
      <w:r>
        <w:rPr>
          <w:rFonts w:hint="eastAsia" w:ascii="仿宋" w:hAnsi="仿宋" w:eastAsia="仿宋" w:cs="仿宋"/>
          <w:color w:val="000000" w:themeColor="text1"/>
          <w:sz w:val="32"/>
          <w:szCs w:val="32"/>
          <w14:textFill>
            <w14:solidFill>
              <w14:schemeClr w14:val="tx1"/>
            </w14:solidFill>
          </w14:textFill>
        </w:rPr>
        <w:t>简行政审批，规范中介服务，全面清理影响市场主体经营准入的各种隐性壁垒，优化企业开办流程，推广“一业一证”、“一企一证”、“证照联办”等创新举措。深化工程建设项目审批制度改革，推行区域评估制度，实行“告知承诺制”，推广“企业零跑腿”等改革经验，全力打造“项目能落地、办事不求人”的营商环境。</w:t>
      </w:r>
    </w:p>
    <w:p w14:paraId="30A861BE">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开展精准对接服务。</w:t>
      </w:r>
      <w:r>
        <w:rPr>
          <w:rFonts w:hint="eastAsia" w:ascii="仿宋" w:hAnsi="仿宋" w:eastAsia="仿宋" w:cs="仿宋"/>
          <w:color w:val="000000" w:themeColor="text1"/>
          <w:sz w:val="32"/>
          <w:szCs w:val="32"/>
          <w14:textFill>
            <w14:solidFill>
              <w14:schemeClr w14:val="tx1"/>
            </w14:solidFill>
          </w14:textFill>
        </w:rPr>
        <w:t>加强对招商引资工作的全流程管理，由旗领导分别牵头组建重点产业、重点项目工作组，统筹负责前期对接招商、审批流程推进、在建工程项目、后期运营服务等全套事项，确保如期如约兑现产业政策。面向具有标杆效应和品牌效益的本地区龙头企业、外来引进项目，建立常态化政企联络机制，定期召开协调会，帮助企业解决实际困难，建立亲、清政企关系，妥善解决涉地、涉矿、涉品牌使用权等纠纷，杜绝乱摊派、乱代建和占用企业款项等问题。进一步压缩企业开办时间，力争企业开办当场办结率达到95%以上。</w:t>
      </w:r>
    </w:p>
    <w:p w14:paraId="085AF3EE">
      <w:pPr>
        <w:pStyle w:val="2"/>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加强市场执法和监管。</w:t>
      </w:r>
      <w:r>
        <w:rPr>
          <w:rFonts w:hint="eastAsia" w:ascii="仿宋" w:hAnsi="仿宋" w:eastAsia="仿宋" w:cs="仿宋"/>
          <w:color w:val="000000" w:themeColor="text1"/>
          <w:sz w:val="32"/>
          <w:szCs w:val="32"/>
          <w14:textFill>
            <w14:solidFill>
              <w14:schemeClr w14:val="tx1"/>
            </w14:solidFill>
          </w14:textFill>
        </w:rPr>
        <w:t>健全以“双随机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公开”监管为基本手段、以重点监管为补充，以信用监管为基础的新型监管机制，建立公平公正的执法机制，对本级23个大项执法监督检查事项随机抽查实现全覆盖。调整加强农畜产品质检、食品药品安全、餐饮、交通、旅游等重点领域市场执法力量，强化商品价格监督检查，严格规范市场经营秩序，严厉打击假冒伪劣、违规使用公用品牌、高价宰客等违法违规经营行为。充实音德尔镇城管执法队伍，依托智慧城市基础设施和网络平台，完善城管与环保、城建、交管、旅游等相关部门联合执法机制，确保城区干道、交通枢纽、主要景区、公共服务设施运行井然有序。</w:t>
      </w:r>
    </w:p>
    <w:p w14:paraId="0536ED90">
      <w:pPr>
        <w:pStyle w:val="4"/>
        <w:pageBreakBefore w:val="0"/>
        <w:kinsoku/>
        <w:wordWrap/>
        <w:overflowPunct/>
        <w:topLinePunct w:val="0"/>
        <w:bidi w:val="0"/>
        <w:snapToGrid/>
        <w:spacing w:line="600" w:lineRule="exact"/>
        <w:textAlignment w:val="auto"/>
        <w:rPr>
          <w:rFonts w:hint="eastAsia" w:ascii="仿宋" w:hAnsi="仿宋" w:eastAsia="仿宋" w:cs="仿宋"/>
          <w:color w:val="000000" w:themeColor="text1"/>
          <w14:textFill>
            <w14:solidFill>
              <w14:schemeClr w14:val="tx1"/>
            </w14:solidFill>
          </w14:textFill>
        </w:rPr>
      </w:pPr>
      <w:bookmarkStart w:id="169" w:name="_Toc13291"/>
      <w:bookmarkStart w:id="170" w:name="_Toc16987"/>
      <w:bookmarkStart w:id="171" w:name="_Toc22916"/>
      <w:r>
        <w:rPr>
          <w:rFonts w:hint="eastAsia" w:ascii="仿宋" w:hAnsi="仿宋" w:eastAsia="仿宋" w:cs="仿宋"/>
          <w:color w:val="000000" w:themeColor="text1"/>
          <w14:textFill>
            <w14:solidFill>
              <w14:schemeClr w14:val="tx1"/>
            </w14:solidFill>
          </w14:textFill>
        </w:rPr>
        <w:t>第五节</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加快推进开放合作</w:t>
      </w:r>
      <w:bookmarkEnd w:id="169"/>
      <w:bookmarkEnd w:id="170"/>
      <w:bookmarkEnd w:id="171"/>
    </w:p>
    <w:p w14:paraId="6FAE038B">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抢抓新一轮东北振兴机遇。</w:t>
      </w:r>
      <w:r>
        <w:rPr>
          <w:rFonts w:hint="eastAsia" w:ascii="仿宋" w:hAnsi="仿宋" w:eastAsia="仿宋" w:cs="仿宋"/>
          <w:color w:val="000000" w:themeColor="text1"/>
          <w:sz w:val="32"/>
          <w:szCs w:val="32"/>
          <w14:textFill>
            <w14:solidFill>
              <w14:schemeClr w14:val="tx1"/>
            </w14:solidFill>
          </w14:textFill>
        </w:rPr>
        <w:t>在机场、铁路、高速公路</w:t>
      </w:r>
      <w:r>
        <w:rPr>
          <w:rFonts w:hint="eastAsia" w:ascii="仿宋" w:hAnsi="仿宋" w:eastAsia="仿宋" w:cs="仿宋"/>
          <w:color w:val="000000" w:themeColor="text1"/>
          <w:sz w:val="32"/>
          <w:szCs w:val="32"/>
          <w:lang w:val="en-US" w:eastAsia="zh-CN"/>
          <w14:textFill>
            <w14:solidFill>
              <w14:schemeClr w14:val="tx1"/>
            </w14:solidFill>
          </w14:textFill>
        </w:rPr>
        <w:t>建设和</w:t>
      </w:r>
      <w:r>
        <w:rPr>
          <w:rFonts w:hint="eastAsia" w:ascii="仿宋" w:hAnsi="仿宋" w:eastAsia="仿宋" w:cs="仿宋"/>
          <w:color w:val="000000" w:themeColor="text1"/>
          <w:sz w:val="32"/>
          <w:szCs w:val="32"/>
          <w14:textFill>
            <w14:solidFill>
              <w14:schemeClr w14:val="tx1"/>
            </w14:solidFill>
          </w14:textFill>
        </w:rPr>
        <w:t>生态环境保护等方面争取国家支持，</w:t>
      </w:r>
      <w:r>
        <w:rPr>
          <w:rFonts w:hint="eastAsia" w:ascii="仿宋" w:hAnsi="仿宋" w:eastAsia="仿宋" w:cs="仿宋"/>
          <w:color w:val="000000" w:themeColor="text1"/>
          <w:sz w:val="32"/>
          <w:szCs w:val="32"/>
          <w:lang w:val="en-US" w:eastAsia="zh-CN"/>
          <w14:textFill>
            <w14:solidFill>
              <w14:schemeClr w14:val="tx1"/>
            </w14:solidFill>
          </w14:textFill>
        </w:rPr>
        <w:t>推动</w:t>
      </w:r>
      <w:r>
        <w:rPr>
          <w:rFonts w:hint="eastAsia" w:ascii="仿宋" w:hAnsi="仿宋" w:eastAsia="仿宋" w:cs="仿宋"/>
          <w:color w:val="000000" w:themeColor="text1"/>
          <w:sz w:val="32"/>
          <w:szCs w:val="32"/>
          <w14:textFill>
            <w14:solidFill>
              <w14:schemeClr w14:val="tx1"/>
            </w14:solidFill>
          </w14:textFill>
        </w:rPr>
        <w:t>重点项目纳入</w:t>
      </w:r>
      <w:r>
        <w:rPr>
          <w:rFonts w:hint="eastAsia" w:ascii="仿宋" w:hAnsi="仿宋" w:eastAsia="仿宋" w:cs="仿宋"/>
          <w:color w:val="000000" w:themeColor="text1"/>
          <w:sz w:val="32"/>
          <w:szCs w:val="32"/>
          <w:lang w:val="en-US" w:eastAsia="zh-CN"/>
          <w14:textFill>
            <w14:solidFill>
              <w14:schemeClr w14:val="tx1"/>
            </w14:solidFill>
          </w14:textFill>
        </w:rPr>
        <w:t>国家、自治区</w:t>
      </w:r>
      <w:r>
        <w:rPr>
          <w:rFonts w:hint="eastAsia" w:ascii="仿宋" w:hAnsi="仿宋" w:eastAsia="仿宋" w:cs="仿宋"/>
          <w:color w:val="000000" w:themeColor="text1"/>
          <w:sz w:val="32"/>
          <w:szCs w:val="32"/>
          <w14:textFill>
            <w14:solidFill>
              <w14:schemeClr w14:val="tx1"/>
            </w14:solidFill>
          </w14:textFill>
        </w:rPr>
        <w:t>有关专项规划。加大与哈尔滨、长春、齐齐哈尔等东北地区中心城市合作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医疗服务、交通班线连接、消费市场对接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把扎赉特打造为乌阿海满旅游圈</w:t>
      </w:r>
      <w:r>
        <w:rPr>
          <w:rFonts w:hint="eastAsia" w:ascii="仿宋" w:hAnsi="仿宋" w:eastAsia="仿宋" w:cs="仿宋"/>
          <w:color w:val="000000" w:themeColor="text1"/>
          <w:sz w:val="32"/>
          <w:szCs w:val="32"/>
          <w:lang w:val="en-US" w:eastAsia="zh-CN"/>
          <w14:textFill>
            <w14:solidFill>
              <w14:schemeClr w14:val="tx1"/>
            </w14:solidFill>
          </w14:textFill>
        </w:rPr>
        <w:t>门户枢纽，</w:t>
      </w:r>
      <w:r>
        <w:rPr>
          <w:rFonts w:hint="eastAsia" w:ascii="仿宋" w:hAnsi="仿宋" w:eastAsia="仿宋" w:cs="仿宋"/>
          <w:color w:val="000000" w:themeColor="text1"/>
          <w:sz w:val="32"/>
          <w:szCs w:val="32"/>
          <w14:textFill>
            <w14:solidFill>
              <w14:schemeClr w14:val="tx1"/>
            </w14:solidFill>
          </w14:textFill>
        </w:rPr>
        <w:t>衔接三省优质旅游资源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吸引东北三省客源、扩大内蒙古东部地区旅游业辐射力影响力。抢抓东北地区国企混合所有制改革和民企加大</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东北投资</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机遇，吸引社会资本到扎赉特投资兴业。在农畜产品优势产业领域，密切与黑龙江、吉林合作，借助两省销售渠道，将扎赉特产品推向全国市场。</w:t>
      </w:r>
    </w:p>
    <w:p w14:paraId="0F62D0BF">
      <w:pPr>
        <w:pageBreakBefore w:val="0"/>
        <w:kinsoku/>
        <w:wordWrap/>
        <w:overflowPunct/>
        <w:topLinePunct w:val="0"/>
        <w:bidi w:val="0"/>
        <w:snapToGrid/>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积极参与建设兴白齐呼跨省生态经济合作区。</w:t>
      </w:r>
      <w:r>
        <w:rPr>
          <w:rFonts w:hint="eastAsia" w:ascii="仿宋" w:hAnsi="仿宋" w:eastAsia="仿宋" w:cs="仿宋"/>
          <w:color w:val="000000" w:themeColor="text1"/>
          <w:sz w:val="32"/>
          <w:szCs w:val="32"/>
          <w:lang w:val="en-US" w:eastAsia="zh-CN"/>
          <w14:textFill>
            <w14:solidFill>
              <w14:schemeClr w14:val="tx1"/>
            </w14:solidFill>
          </w14:textFill>
        </w:rPr>
        <w:t>积极</w:t>
      </w:r>
      <w:r>
        <w:rPr>
          <w:rFonts w:hint="eastAsia" w:ascii="仿宋" w:hAnsi="仿宋" w:eastAsia="仿宋" w:cs="仿宋"/>
          <w:color w:val="000000" w:themeColor="text1"/>
          <w:sz w:val="32"/>
          <w:szCs w:val="32"/>
          <w14:textFill>
            <w14:solidFill>
              <w14:schemeClr w14:val="tx1"/>
            </w14:solidFill>
          </w14:textFill>
        </w:rPr>
        <w:t>融入兴白齐呼跨省生态经济合作区，</w:t>
      </w:r>
      <w:r>
        <w:rPr>
          <w:rFonts w:hint="eastAsia" w:ascii="仿宋" w:hAnsi="仿宋" w:eastAsia="仿宋" w:cs="仿宋"/>
          <w:color w:val="000000" w:themeColor="text1"/>
          <w:sz w:val="32"/>
          <w:szCs w:val="32"/>
          <w:lang w:val="en-US" w:eastAsia="zh-CN"/>
          <w14:textFill>
            <w14:solidFill>
              <w14:schemeClr w14:val="tx1"/>
            </w14:solidFill>
          </w14:textFill>
        </w:rPr>
        <w:t>加强</w:t>
      </w:r>
      <w:r>
        <w:rPr>
          <w:rFonts w:hint="eastAsia" w:ascii="仿宋" w:hAnsi="仿宋" w:eastAsia="仿宋" w:cs="仿宋"/>
          <w:color w:val="000000" w:themeColor="text1"/>
          <w:sz w:val="32"/>
          <w:szCs w:val="32"/>
          <w14:textFill>
            <w14:solidFill>
              <w14:schemeClr w14:val="tx1"/>
            </w14:solidFill>
          </w14:textFill>
        </w:rPr>
        <w:t>大兴安岭林区森林抚育、野生动植物保护、水源涵养与综合调蓄、水土流失及盐碱化荒漠化治理</w:t>
      </w:r>
      <w:r>
        <w:rPr>
          <w:rFonts w:hint="eastAsia" w:ascii="仿宋" w:hAnsi="仿宋" w:eastAsia="仿宋" w:cs="仿宋"/>
          <w:color w:val="000000" w:themeColor="text1"/>
          <w:sz w:val="32"/>
          <w:szCs w:val="32"/>
          <w:lang w:val="en-US" w:eastAsia="zh-CN"/>
          <w14:textFill>
            <w14:solidFill>
              <w14:schemeClr w14:val="tx1"/>
            </w14:solidFill>
          </w14:textFill>
        </w:rPr>
        <w:t>等领域合作，共同构建</w:t>
      </w:r>
      <w:r>
        <w:rPr>
          <w:rFonts w:hint="eastAsia" w:ascii="仿宋" w:hAnsi="仿宋" w:eastAsia="仿宋" w:cs="仿宋"/>
          <w:color w:val="000000" w:themeColor="text1"/>
          <w:sz w:val="32"/>
          <w:szCs w:val="32"/>
          <w14:textFill>
            <w14:solidFill>
              <w14:schemeClr w14:val="tx1"/>
            </w14:solidFill>
          </w14:textFill>
        </w:rPr>
        <w:t>我国北方生态</w:t>
      </w:r>
      <w:r>
        <w:rPr>
          <w:rFonts w:hint="eastAsia" w:ascii="仿宋" w:hAnsi="仿宋" w:eastAsia="仿宋" w:cs="仿宋"/>
          <w:color w:val="000000" w:themeColor="text1"/>
          <w:sz w:val="32"/>
          <w:szCs w:val="32"/>
          <w:lang w:val="en-US" w:eastAsia="zh-CN"/>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屏障</w:t>
      </w:r>
      <w:r>
        <w:rPr>
          <w:rFonts w:hint="eastAsia" w:ascii="仿宋" w:hAnsi="仿宋" w:eastAsia="仿宋" w:cs="仿宋"/>
          <w:color w:val="000000" w:themeColor="text1"/>
          <w:sz w:val="32"/>
          <w:szCs w:val="32"/>
          <w:lang w:val="en-US" w:eastAsia="zh-CN"/>
          <w14:textFill>
            <w14:solidFill>
              <w14:schemeClr w14:val="tx1"/>
            </w14:solidFill>
          </w14:textFill>
        </w:rPr>
        <w:t>东段</w:t>
      </w:r>
      <w:r>
        <w:rPr>
          <w:rFonts w:hint="eastAsia" w:ascii="仿宋" w:hAnsi="仿宋" w:eastAsia="仿宋" w:cs="仿宋"/>
          <w:color w:val="000000" w:themeColor="text1"/>
          <w:sz w:val="32"/>
          <w:szCs w:val="32"/>
          <w14:textFill>
            <w14:solidFill>
              <w14:schemeClr w14:val="tx1"/>
            </w14:solidFill>
          </w14:textFill>
        </w:rPr>
        <w:t>。积极推进音德尔镇与齐齐哈尔、泰赉等地区的产业合作，打造“兴白齐”区域合作区建设的重要支点，辐射带动全盟东北部发展。图牧吉、努文牧仁等交界地区乡镇建设跨省生态经济合作先行区，加强基层合作、民间合作。</w:t>
      </w:r>
    </w:p>
    <w:p w14:paraId="3D867D2A">
      <w:pPr>
        <w:pageBreakBefore w:val="0"/>
        <w:kinsoku/>
        <w:wordWrap/>
        <w:overflowPunct/>
        <w:topLinePunct w:val="0"/>
        <w:bidi w:val="0"/>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加大对外开放力度。</w:t>
      </w:r>
      <w:r>
        <w:rPr>
          <w:rFonts w:hint="eastAsia" w:ascii="仿宋" w:hAnsi="仿宋" w:eastAsia="仿宋" w:cs="仿宋"/>
          <w:color w:val="000000" w:themeColor="text1"/>
          <w:sz w:val="32"/>
          <w:szCs w:val="32"/>
          <w14:textFill>
            <w14:solidFill>
              <w14:schemeClr w14:val="tx1"/>
            </w14:solidFill>
          </w14:textFill>
        </w:rPr>
        <w:t>积极融入中蒙俄经济走廊建设，积极发展</w:t>
      </w:r>
      <w:r>
        <w:rPr>
          <w:rFonts w:hint="eastAsia" w:ascii="仿宋" w:hAnsi="仿宋" w:eastAsia="仿宋" w:cs="仿宋"/>
          <w:color w:val="000000" w:themeColor="text1"/>
          <w:sz w:val="32"/>
          <w:szCs w:val="32"/>
          <w:lang w:val="en-US" w:eastAsia="zh-CN"/>
          <w14:textFill>
            <w14:solidFill>
              <w14:schemeClr w14:val="tx1"/>
            </w14:solidFill>
          </w14:textFill>
        </w:rPr>
        <w:t>面向蒙俄的</w:t>
      </w:r>
      <w:r>
        <w:rPr>
          <w:rFonts w:hint="eastAsia" w:ascii="仿宋" w:hAnsi="仿宋" w:eastAsia="仿宋" w:cs="仿宋"/>
          <w:color w:val="000000" w:themeColor="text1"/>
          <w:sz w:val="32"/>
          <w:szCs w:val="32"/>
          <w14:textFill>
            <w14:solidFill>
              <w14:schemeClr w14:val="tx1"/>
            </w14:solidFill>
          </w14:textFill>
        </w:rPr>
        <w:t>跨境电子商务，发展生猪屠宰加工、蒙古马繁育等产业，</w:t>
      </w:r>
      <w:r>
        <w:rPr>
          <w:rFonts w:hint="eastAsia" w:ascii="仿宋" w:hAnsi="仿宋" w:eastAsia="仿宋" w:cs="仿宋"/>
          <w:color w:val="000000" w:themeColor="text1"/>
          <w:sz w:val="32"/>
          <w:szCs w:val="32"/>
          <w:lang w:val="en-US" w:eastAsia="zh-CN"/>
          <w14:textFill>
            <w14:solidFill>
              <w14:schemeClr w14:val="tx1"/>
            </w14:solidFill>
          </w14:textFill>
        </w:rPr>
        <w:t>打造</w:t>
      </w:r>
      <w:r>
        <w:rPr>
          <w:rFonts w:hint="eastAsia" w:ascii="仿宋" w:hAnsi="仿宋" w:eastAsia="仿宋" w:cs="仿宋"/>
          <w:color w:val="000000" w:themeColor="text1"/>
          <w:sz w:val="32"/>
          <w:szCs w:val="32"/>
          <w14:textFill>
            <w14:solidFill>
              <w14:schemeClr w14:val="tx1"/>
            </w14:solidFill>
          </w14:textFill>
        </w:rPr>
        <w:t>冷链物流储运节点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加强与俄蒙等国</w:t>
      </w:r>
      <w:r>
        <w:rPr>
          <w:rFonts w:hint="eastAsia" w:ascii="仿宋" w:hAnsi="仿宋" w:eastAsia="仿宋" w:cs="仿宋"/>
          <w:color w:val="000000" w:themeColor="text1"/>
          <w:sz w:val="32"/>
          <w:szCs w:val="32"/>
          <w:lang w:val="en-US" w:eastAsia="zh-CN"/>
          <w14:textFill>
            <w14:solidFill>
              <w14:schemeClr w14:val="tx1"/>
            </w14:solidFill>
          </w14:textFill>
        </w:rPr>
        <w:t>开展</w:t>
      </w:r>
      <w:r>
        <w:rPr>
          <w:rFonts w:hint="eastAsia" w:ascii="仿宋" w:hAnsi="仿宋" w:eastAsia="仿宋" w:cs="仿宋"/>
          <w:color w:val="000000" w:themeColor="text1"/>
          <w:sz w:val="32"/>
          <w:szCs w:val="32"/>
          <w14:textFill>
            <w14:solidFill>
              <w14:schemeClr w14:val="tx1"/>
            </w14:solidFill>
          </w14:textFill>
        </w:rPr>
        <w:t>农畜良种繁育、饲料营养及疫病防治等领域</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科技合作。吸引全球知名粮油企业参股本地农产品深加工企业，提升技术水平和产品质量。</w:t>
      </w:r>
    </w:p>
    <w:p w14:paraId="76406648">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6BA6C21B">
      <w:pPr>
        <w:pStyle w:val="3"/>
        <w:pageBreakBefore w:val="0"/>
        <w:kinsoku/>
        <w:wordWrap/>
        <w:topLinePunct w:val="0"/>
        <w:bidi w:val="0"/>
        <w:spacing w:before="0" w:beforeLines="0" w:after="0" w:afterLines="0" w:line="600" w:lineRule="exact"/>
        <w:ind w:firstLine="0" w:firstLineChars="0"/>
        <w:textAlignment w:val="auto"/>
        <w:rPr>
          <w:rFonts w:hint="eastAsia" w:ascii="黑体" w:hAnsi="黑体" w:eastAsia="黑体" w:cs="黑体"/>
          <w:b w:val="0"/>
          <w:bCs w:val="0"/>
          <w:color w:val="000000" w:themeColor="text1"/>
          <w14:textFill>
            <w14:solidFill>
              <w14:schemeClr w14:val="tx1"/>
            </w14:solidFill>
          </w14:textFill>
        </w:rPr>
      </w:pPr>
      <w:bookmarkStart w:id="172" w:name="_Toc14581_WPSOffice_Level1"/>
      <w:bookmarkStart w:id="173" w:name="_Toc20092"/>
      <w:bookmarkStart w:id="174" w:name="_Toc20194"/>
      <w:bookmarkStart w:id="175" w:name="_Toc15535"/>
      <w:r>
        <w:rPr>
          <w:rFonts w:hint="eastAsia" w:ascii="黑体" w:hAnsi="黑体" w:eastAsia="黑体" w:cs="黑体"/>
          <w:b w:val="0"/>
          <w:bCs w:val="0"/>
          <w:color w:val="000000" w:themeColor="text1"/>
          <w14:textFill>
            <w14:solidFill>
              <w14:schemeClr w14:val="tx1"/>
            </w14:solidFill>
          </w14:textFill>
        </w:rPr>
        <w:t xml:space="preserve">第七章  促进社会团结进步 </w:t>
      </w:r>
      <w:bookmarkEnd w:id="151"/>
      <w:r>
        <w:rPr>
          <w:rFonts w:hint="eastAsia" w:ascii="黑体" w:hAnsi="黑体" w:eastAsia="黑体" w:cs="黑体"/>
          <w:b w:val="0"/>
          <w:bCs w:val="0"/>
          <w:color w:val="000000" w:themeColor="text1"/>
          <w14:textFill>
            <w14:solidFill>
              <w14:schemeClr w14:val="tx1"/>
            </w14:solidFill>
          </w14:textFill>
        </w:rPr>
        <w:t>构筑</w:t>
      </w:r>
      <w:r>
        <w:rPr>
          <w:rFonts w:hint="eastAsia" w:ascii="黑体" w:hAnsi="黑体" w:cs="黑体"/>
          <w:b w:val="0"/>
          <w:bCs w:val="0"/>
          <w:color w:val="000000" w:themeColor="text1"/>
          <w:lang w:eastAsia="zh-CN"/>
          <w14:textFill>
            <w14:solidFill>
              <w14:schemeClr w14:val="tx1"/>
            </w14:solidFill>
          </w14:textFill>
        </w:rPr>
        <w:t>和谐</w:t>
      </w:r>
      <w:r>
        <w:rPr>
          <w:rFonts w:hint="eastAsia" w:ascii="黑体" w:hAnsi="黑体" w:eastAsia="黑体" w:cs="黑体"/>
          <w:b w:val="0"/>
          <w:bCs w:val="0"/>
          <w:color w:val="000000" w:themeColor="text1"/>
          <w14:textFill>
            <w14:solidFill>
              <w14:schemeClr w14:val="tx1"/>
            </w14:solidFill>
          </w14:textFill>
        </w:rPr>
        <w:t>扎赉特</w:t>
      </w:r>
      <w:bookmarkEnd w:id="172"/>
      <w:bookmarkEnd w:id="173"/>
      <w:bookmarkEnd w:id="174"/>
      <w:bookmarkEnd w:id="175"/>
    </w:p>
    <w:p w14:paraId="55E7A173">
      <w:pPr>
        <w:pStyle w:val="4"/>
        <w:pageBreakBefore w:val="0"/>
        <w:kinsoku/>
        <w:wordWrap/>
        <w:topLinePunct w:val="0"/>
        <w:bidi w:val="0"/>
        <w:spacing w:line="600" w:lineRule="exact"/>
        <w:textAlignment w:val="auto"/>
        <w:outlineLvl w:val="9"/>
        <w:rPr>
          <w:rFonts w:hint="eastAsia" w:ascii="仿宋" w:hAnsi="仿宋" w:eastAsia="仿宋" w:cs="仿宋"/>
          <w:color w:val="000000" w:themeColor="text1"/>
          <w14:textFill>
            <w14:solidFill>
              <w14:schemeClr w14:val="tx1"/>
            </w14:solidFill>
          </w14:textFill>
        </w:rPr>
      </w:pPr>
      <w:bookmarkStart w:id="176" w:name="_Toc61280861"/>
    </w:p>
    <w:p w14:paraId="23147A73">
      <w:pPr>
        <w:pStyle w:val="4"/>
        <w:pageBreakBefore w:val="0"/>
        <w:kinsoku/>
        <w:wordWrap/>
        <w:topLinePunct w:val="0"/>
        <w:bidi w:val="0"/>
        <w:spacing w:line="600" w:lineRule="exact"/>
        <w:textAlignment w:val="auto"/>
        <w:rPr>
          <w:rFonts w:hint="eastAsia" w:ascii="仿宋" w:hAnsi="仿宋" w:eastAsia="仿宋" w:cs="仿宋"/>
          <w:color w:val="000000" w:themeColor="text1"/>
          <w14:textFill>
            <w14:solidFill>
              <w14:schemeClr w14:val="tx1"/>
            </w14:solidFill>
          </w14:textFill>
        </w:rPr>
      </w:pPr>
      <w:bookmarkStart w:id="177" w:name="_Toc17397"/>
      <w:bookmarkStart w:id="178" w:name="_Toc21082"/>
      <w:bookmarkStart w:id="179" w:name="_Toc5548"/>
      <w:r>
        <w:rPr>
          <w:rFonts w:hint="eastAsia" w:ascii="仿宋" w:hAnsi="仿宋" w:eastAsia="仿宋" w:cs="仿宋"/>
          <w:color w:val="000000" w:themeColor="text1"/>
          <w14:textFill>
            <w14:solidFill>
              <w14:schemeClr w14:val="tx1"/>
            </w14:solidFill>
          </w14:textFill>
        </w:rPr>
        <w:t xml:space="preserve">第一节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促进文化繁荣发展</w:t>
      </w:r>
      <w:bookmarkEnd w:id="176"/>
      <w:bookmarkEnd w:id="177"/>
      <w:bookmarkEnd w:id="178"/>
      <w:bookmarkEnd w:id="179"/>
    </w:p>
    <w:p w14:paraId="00A9F1F9">
      <w:pPr>
        <w:pStyle w:val="2"/>
        <w:pageBreakBefore w:val="0"/>
        <w:kinsoku/>
        <w:wordWrap/>
        <w:topLinePunct w:val="0"/>
        <w:bidi w:val="0"/>
        <w:spacing w:line="600" w:lineRule="exact"/>
        <w:ind w:firstLine="64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加强社会主义精神文明建设。</w:t>
      </w:r>
      <w:r>
        <w:rPr>
          <w:rFonts w:hint="eastAsia" w:ascii="仿宋" w:hAnsi="仿宋" w:eastAsia="仿宋" w:cs="仿宋"/>
          <w:color w:val="000000" w:themeColor="text1"/>
          <w:kern w:val="0"/>
          <w:sz w:val="32"/>
          <w:szCs w:val="32"/>
          <w14:textFill>
            <w14:solidFill>
              <w14:schemeClr w14:val="tx1"/>
            </w14:solidFill>
          </w14:textFill>
        </w:rPr>
        <w:t>深入开展习近平新时代中国特色社会主义思想学习教育，推动理想信念教育常态化制度化，加强党史、新中国史、改革开放史、社会主义发展史教育，加强爱国主义、集体主义、社会主义教育。把社会主义核心价值观融入社会发展各方面，融入法治建设、生态文明建设等全过程。完善全媒体传播体系，加快融媒体中心项目建设，构建网上网下一体、内宣外宣联动的主流舆论格局。实施新时代农牧民素质提升工程，全面培育文明乡风、良好家风、淳朴民风，开展“中国梦·尽责圆梦”主题实践活动，继续开展好“扎赉特好人”评选和“兴安好人”“兴安楷模”“内蒙古好人”“北疆楷模”“中国好人”推荐工作，认真做好国家级、自治区级道德模范推荐工作。拓展新时代文明实践中心建设，推进志愿服务工作，开展以劳动创造幸福为主题的宣传教育，加强家庭、家教、家风建设。提倡艰苦奋斗、勤俭节约，开展以劳动创造幸福为主题的宣传教育，促进全民养成文明健康生活方式。重点争创国家园林县城和全区文明旗县城、双拥模范旗。</w:t>
      </w:r>
    </w:p>
    <w:p w14:paraId="7A427600">
      <w:pPr>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加强公共文化体育基础设施建设。</w:t>
      </w:r>
      <w:r>
        <w:rPr>
          <w:rFonts w:hint="eastAsia" w:ascii="仿宋" w:hAnsi="仿宋" w:eastAsia="仿宋" w:cs="仿宋"/>
          <w:color w:val="000000" w:themeColor="text1"/>
          <w:sz w:val="32"/>
          <w:szCs w:val="32"/>
          <w14:textFill>
            <w14:solidFill>
              <w14:schemeClr w14:val="tx1"/>
            </w14:solidFill>
          </w14:textFill>
        </w:rPr>
        <w:t>推进公益文化设施旗乡村嘎查（社区）三级全覆盖，建设旗乌兰牧骑演艺中心、全民健身体育馆内设场馆等重要文体基础设施。推动文化设施向基层延伸，在人口相对集中的乡镇启动露天舞台建设，完善综合文化站等基层文化设施网络，配套信息资源共享工程和农牧民体育健身工程。发展图书馆和文化馆分馆，覆盖14个苏木乡镇（场）、嘎查村服务点及音德尔镇11个社区。在原有的文化馆配套数字化设施设备，建设数字文化馆，提升公共文化数字化水平。</w:t>
      </w:r>
    </w:p>
    <w:p w14:paraId="7ED17FC3">
      <w:pPr>
        <w:pageBreakBefore w:val="0"/>
        <w:widowControl w:val="0"/>
        <w:kinsoku/>
        <w:wordWrap/>
        <w:overflowPunct/>
        <w:topLinePunct w:val="0"/>
        <w:autoSpaceDE/>
        <w:autoSpaceDN/>
        <w:bidi w:val="0"/>
        <w:adjustRightInd/>
        <w:snapToGrid/>
        <w:spacing w:line="62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开展群众性文化体育活动。</w:t>
      </w:r>
      <w:r>
        <w:rPr>
          <w:rFonts w:hint="eastAsia" w:ascii="仿宋" w:hAnsi="仿宋" w:eastAsia="仿宋" w:cs="仿宋"/>
          <w:color w:val="000000" w:themeColor="text1"/>
          <w:sz w:val="32"/>
          <w:szCs w:val="32"/>
          <w14:textFill>
            <w14:solidFill>
              <w14:schemeClr w14:val="tx1"/>
            </w14:solidFill>
          </w14:textFill>
        </w:rPr>
        <w:t>依托重大节庆活动和民族民间文化资源，开展群众性文化体育和少数民族传统体育活动。继续办好春节文艺晚会、神山祭祀等各类文化体育品牌活动，充分体现地域文化。每三年举办一次那达慕，每五年举办一次全民运动会。推动文化科技卫生“三下乡”等活动经常化、制度化。引导和支持基层民间组织开展群众文化活动和全民健身活动。推动公共文化设施免费向社会开放。继续深入开展全民阅读活动。</w:t>
      </w:r>
    </w:p>
    <w:p w14:paraId="32AE3878">
      <w:pPr>
        <w:pStyle w:val="4"/>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14:textFill>
            <w14:solidFill>
              <w14:schemeClr w14:val="tx1"/>
            </w14:solidFill>
          </w14:textFill>
        </w:rPr>
      </w:pPr>
      <w:bookmarkStart w:id="180" w:name="_Toc25183"/>
      <w:bookmarkStart w:id="181" w:name="_Toc28605"/>
      <w:bookmarkStart w:id="182" w:name="_Toc61280862"/>
      <w:bookmarkStart w:id="183" w:name="_Toc11073"/>
      <w:r>
        <w:rPr>
          <w:rFonts w:hint="eastAsia" w:ascii="仿宋" w:hAnsi="仿宋" w:eastAsia="仿宋" w:cs="仿宋"/>
          <w:color w:val="000000" w:themeColor="text1"/>
          <w14:textFill>
            <w14:solidFill>
              <w14:schemeClr w14:val="tx1"/>
            </w14:solidFill>
          </w14:textFill>
        </w:rPr>
        <w:t>第二节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铸牢中华民族共同体意识</w:t>
      </w:r>
      <w:bookmarkEnd w:id="180"/>
      <w:bookmarkEnd w:id="181"/>
      <w:bookmarkEnd w:id="182"/>
      <w:bookmarkEnd w:id="183"/>
    </w:p>
    <w:p w14:paraId="3949441A">
      <w:pPr>
        <w:pageBreakBefore w:val="0"/>
        <w:kinsoku/>
        <w:wordWrap/>
        <w:overflowPunct/>
        <w:topLinePunct w:val="0"/>
        <w:autoSpaceDE/>
        <w:autoSpaceDN/>
        <w:bidi w:val="0"/>
        <w:adjustRightInd/>
        <w:snapToGrid/>
        <w:spacing w:line="6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深入开展中华民族共同体意识宣传教育。</w:t>
      </w:r>
      <w:r>
        <w:rPr>
          <w:rFonts w:hint="eastAsia" w:ascii="仿宋" w:hAnsi="仿宋" w:eastAsia="仿宋" w:cs="仿宋"/>
          <w:color w:val="000000" w:themeColor="text1"/>
          <w:sz w:val="32"/>
          <w:szCs w:val="32"/>
          <w14:textFill>
            <w14:solidFill>
              <w14:schemeClr w14:val="tx1"/>
            </w14:solidFill>
          </w14:textFill>
        </w:rPr>
        <w:t>常态化开展中华民族共同体意识教育，系统纳入干部教育、学校教育、社会教育全过程，多维推进历史教育、文化引领、法治宣传，让守望相助理念和“三个离不开”、“五个认同”思想在各族人民心中深深扎根。发展繁荣包括各民族文化在内的中华文化，建设具有中华文化特征、彰显中华民族视觉形象的重点工程项目。</w:t>
      </w:r>
    </w:p>
    <w:p w14:paraId="1A72068D">
      <w:pPr>
        <w:pageBreakBefore w:val="0"/>
        <w:kinsoku/>
        <w:wordWrap/>
        <w:topLinePunct w:val="0"/>
        <w:bidi w:val="0"/>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促进各民族交往交流交融。</w:t>
      </w:r>
      <w:r>
        <w:rPr>
          <w:rFonts w:hint="eastAsia" w:ascii="仿宋" w:hAnsi="仿宋" w:eastAsia="仿宋" w:cs="仿宋"/>
          <w:color w:val="000000" w:themeColor="text1"/>
          <w:sz w:val="32"/>
          <w:szCs w:val="32"/>
          <w14:textFill>
            <w14:solidFill>
              <w14:schemeClr w14:val="tx1"/>
            </w14:solidFill>
          </w14:textFill>
        </w:rPr>
        <w:t>全面加强国家通用语言文字教育，扎实推进双语教学改革，坚定不移使用国家统编教材，不断提高各族群众科学文化素质，帮助牧区少数民族群众学习运用网络信息平台、现代化畜牧技术，更好融入现代化生产生活方式，拓展进城就业机会。建立社会市面用文管理工作长效机制，提高社会市面蒙汉文并用规范化程度。以城镇社区为主要载体，营造各族群众共居共学共事共乐的社会条件。在农牧结合发展中促进民族团结，支持汉族乡镇农民到少数民族苏木乡镇进行生产协作，合理使用少数民族项目资金，引导牧民推广种养结合、舍饲养殖等生产方式。</w:t>
      </w:r>
    </w:p>
    <w:p w14:paraId="22A666A9">
      <w:pPr>
        <w:pageBreakBefore w:val="0"/>
        <w:kinsoku/>
        <w:wordWrap/>
        <w:topLinePunct w:val="0"/>
        <w:bidi w:val="0"/>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全面深入持久开展民族团结进步创建工作。</w:t>
      </w:r>
      <w:r>
        <w:rPr>
          <w:rFonts w:hint="eastAsia" w:ascii="仿宋" w:hAnsi="仿宋" w:eastAsia="仿宋" w:cs="仿宋"/>
          <w:color w:val="000000" w:themeColor="text1"/>
          <w:sz w:val="32"/>
          <w:szCs w:val="32"/>
          <w14:textFill>
            <w14:solidFill>
              <w14:schemeClr w14:val="tx1"/>
            </w14:solidFill>
          </w14:textFill>
        </w:rPr>
        <w:t>巩固提升全国民族团结进步示范旗创建成果，大力推进民族团结进步“八进”活动。不断巩固和发展平等团结互助和谐的社会主义民族关系，积极预防和妥善处理影响民族团结的矛盾纠纷。保护各民族传统生产生活习俗中的文化元素，传承手工艺品制作等特色产业，形成一批具有本地特色的非物质文化遗产。把民族体育纳入全民健身中，支持各民族传统音乐、曲艺、舞蹈、歌剧传承发展，选送优秀民间艺人参加自治区和国家级演艺活动。</w:t>
      </w:r>
    </w:p>
    <w:p w14:paraId="38972E99">
      <w:pPr>
        <w:pStyle w:val="4"/>
        <w:pageBreakBefore w:val="0"/>
        <w:kinsoku/>
        <w:wordWrap/>
        <w:topLinePunct w:val="0"/>
        <w:bidi w:val="0"/>
        <w:spacing w:line="600" w:lineRule="exact"/>
        <w:textAlignment w:val="auto"/>
        <w:rPr>
          <w:rFonts w:hint="eastAsia" w:ascii="仿宋" w:hAnsi="仿宋" w:eastAsia="仿宋" w:cs="仿宋"/>
          <w:color w:val="000000" w:themeColor="text1"/>
          <w14:textFill>
            <w14:solidFill>
              <w14:schemeClr w14:val="tx1"/>
            </w14:solidFill>
          </w14:textFill>
        </w:rPr>
      </w:pPr>
      <w:bookmarkStart w:id="184" w:name="_Toc61280863"/>
      <w:bookmarkStart w:id="185" w:name="_Toc20672"/>
      <w:bookmarkStart w:id="186" w:name="_Toc24479"/>
      <w:bookmarkStart w:id="187" w:name="_Toc30561"/>
      <w:r>
        <w:rPr>
          <w:rFonts w:hint="eastAsia" w:ascii="仿宋" w:hAnsi="仿宋" w:eastAsia="仿宋" w:cs="仿宋"/>
          <w:color w:val="000000" w:themeColor="text1"/>
          <w14:textFill>
            <w14:solidFill>
              <w14:schemeClr w14:val="tx1"/>
            </w14:solidFill>
          </w14:textFill>
        </w:rPr>
        <w:t xml:space="preserve">第三节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全面推进依法治旗</w:t>
      </w:r>
      <w:bookmarkEnd w:id="184"/>
      <w:bookmarkEnd w:id="185"/>
      <w:bookmarkEnd w:id="186"/>
      <w:bookmarkEnd w:id="187"/>
    </w:p>
    <w:p w14:paraId="641B095A">
      <w:pPr>
        <w:keepNext w:val="0"/>
        <w:keepLines w:val="0"/>
        <w:pageBreakBefore w:val="0"/>
        <w:widowControl/>
        <w:kinsoku/>
        <w:wordWrap/>
        <w:overflowPunct/>
        <w:topLinePunct w:val="0"/>
        <w:autoSpaceDE/>
        <w:autoSpaceDN/>
        <w:bidi w:val="0"/>
        <w:adjustRightInd/>
        <w:snapToGrid/>
        <w:spacing w:line="560" w:lineRule="exact"/>
        <w:ind w:firstLine="641"/>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推进法治政府建设。</w:t>
      </w:r>
      <w:r>
        <w:rPr>
          <w:rFonts w:hint="eastAsia" w:ascii="仿宋" w:hAnsi="仿宋" w:eastAsia="仿宋" w:cs="仿宋"/>
          <w:color w:val="000000" w:themeColor="text1"/>
          <w:sz w:val="32"/>
          <w:szCs w:val="32"/>
          <w14:textFill>
            <w14:solidFill>
              <w14:schemeClr w14:val="tx1"/>
            </w14:solidFill>
          </w14:textFill>
        </w:rPr>
        <w:t>坚持法定职责必须为、法无授权不可为，深入推行政府部门权责清单制度，构建权责统一、权威高效的依法行政体制机制。继续深化司法体制改革，推进严格规范公正文明执法，努力让群众在每一个司法案件中都感受到公平正义。</w:t>
      </w:r>
    </w:p>
    <w:p w14:paraId="23517E4C">
      <w:pPr>
        <w:keepNext w:val="0"/>
        <w:keepLines w:val="0"/>
        <w:pageBreakBefore w:val="0"/>
        <w:widowControl/>
        <w:kinsoku/>
        <w:wordWrap/>
        <w:overflowPunct/>
        <w:topLinePunct w:val="0"/>
        <w:autoSpaceDE/>
        <w:autoSpaceDN/>
        <w:bidi w:val="0"/>
        <w:adjustRightInd/>
        <w:snapToGrid/>
        <w:spacing w:line="560" w:lineRule="exact"/>
        <w:ind w:firstLine="641"/>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加强法治社会建设。</w:t>
      </w:r>
      <w:r>
        <w:rPr>
          <w:rFonts w:hint="eastAsia" w:ascii="仿宋" w:hAnsi="仿宋" w:eastAsia="仿宋" w:cs="仿宋"/>
          <w:color w:val="000000" w:themeColor="text1"/>
          <w:sz w:val="32"/>
          <w:szCs w:val="32"/>
          <w14:textFill>
            <w14:solidFill>
              <w14:schemeClr w14:val="tx1"/>
            </w14:solidFill>
          </w14:textFill>
        </w:rPr>
        <w:t>深入推进民法典实施，加大普法宣传力度，不断增强人民群众法治意识和法治素养。促进基本公共法律服务网络和法律援助体系向农村牧区延伸覆盖，引导群众依法化解生产生活矛盾纠纷，维护群众合法权益。坚持依法治网和以德润网相结合，加强网络舆情分析研判引导，积极有效应对网络舆情，营造良好的网络生态。坚持和发展新时代“枫桥经验”，完善多元化解纠纷机制。加快信访体制机制法治化，继续开展旗四大班子领导干部大接访和旗级领导包联化解重点信访问题工作，有效治理重复访、越级访和违法上访，完成上级交办案件办理，全面化解历史积案。</w:t>
      </w:r>
    </w:p>
    <w:p w14:paraId="746715ED">
      <w:pPr>
        <w:keepNext w:val="0"/>
        <w:keepLines w:val="0"/>
        <w:pageBreakBefore w:val="0"/>
        <w:widowControl/>
        <w:kinsoku/>
        <w:wordWrap/>
        <w:overflowPunct/>
        <w:topLinePunct w:val="0"/>
        <w:autoSpaceDE/>
        <w:autoSpaceDN/>
        <w:bidi w:val="0"/>
        <w:adjustRightInd/>
        <w:snapToGrid/>
        <w:spacing w:line="560" w:lineRule="exact"/>
        <w:ind w:firstLine="641"/>
        <w:textAlignment w:val="auto"/>
        <w:outlineLvl w:val="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建设法治化市场环境。</w:t>
      </w:r>
      <w:r>
        <w:rPr>
          <w:rFonts w:hint="eastAsia" w:ascii="仿宋" w:hAnsi="仿宋" w:eastAsia="仿宋" w:cs="仿宋"/>
          <w:color w:val="000000" w:themeColor="text1"/>
          <w:sz w:val="32"/>
          <w:szCs w:val="32"/>
          <w14:textFill>
            <w14:solidFill>
              <w14:schemeClr w14:val="tx1"/>
            </w14:solidFill>
          </w14:textFill>
        </w:rPr>
        <w:t>提高知识产权保护工作法治化水平，加大对侵权假冒多发重点领域的行政执法力度。严格质量安全监管，建立完善质量安全承诺和质量责任追究机制，形成政府监管、市场调节、行业自律、社会参与的治理格局。优化企业发展环境，清理和规范涉企行政事业性收费，依法保护企业家财产权和创新收益。</w:t>
      </w:r>
      <w:r>
        <w:rPr>
          <w:rFonts w:hint="eastAsia" w:ascii="仿宋" w:hAnsi="仿宋" w:eastAsia="仿宋" w:cs="仿宋"/>
          <w:bCs/>
          <w:color w:val="000000" w:themeColor="text1"/>
          <w:sz w:val="32"/>
          <w:szCs w:val="32"/>
          <w14:textFill>
            <w14:solidFill>
              <w14:schemeClr w14:val="tx1"/>
            </w14:solidFill>
          </w14:textFill>
        </w:rPr>
        <w:t>推进社会信用体系法治化、规范化建设，实行守信联合激励和失信联合惩戒机制，完善失信主体信用修复机制，构建适应高质量发展要求的社会信用体系。</w:t>
      </w:r>
    </w:p>
    <w:p w14:paraId="28D9642A">
      <w:pPr>
        <w:pStyle w:val="4"/>
        <w:pageBreakBefore w:val="0"/>
        <w:kinsoku/>
        <w:wordWrap/>
        <w:topLinePunct w:val="0"/>
        <w:bidi w:val="0"/>
        <w:spacing w:line="600" w:lineRule="exact"/>
        <w:textAlignment w:val="auto"/>
        <w:rPr>
          <w:rFonts w:hint="eastAsia" w:ascii="仿宋" w:hAnsi="仿宋" w:eastAsia="仿宋" w:cs="仿宋"/>
          <w:color w:val="000000" w:themeColor="text1"/>
          <w:lang w:eastAsia="zh-CN"/>
          <w14:textFill>
            <w14:solidFill>
              <w14:schemeClr w14:val="tx1"/>
            </w14:solidFill>
          </w14:textFill>
        </w:rPr>
      </w:pPr>
      <w:bookmarkStart w:id="188" w:name="_Toc61280864"/>
      <w:bookmarkStart w:id="189" w:name="_Toc30333"/>
      <w:bookmarkStart w:id="190" w:name="_Toc16088"/>
      <w:bookmarkStart w:id="191" w:name="_Toc31616"/>
      <w:r>
        <w:rPr>
          <w:rFonts w:hint="eastAsia" w:ascii="仿宋" w:hAnsi="仿宋" w:eastAsia="仿宋" w:cs="仿宋"/>
          <w:color w:val="000000" w:themeColor="text1"/>
          <w14:textFill>
            <w14:solidFill>
              <w14:schemeClr w14:val="tx1"/>
            </w14:solidFill>
          </w14:textFill>
        </w:rPr>
        <w:t>第四节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建设平安</w:t>
      </w:r>
      <w:bookmarkEnd w:id="188"/>
      <w:r>
        <w:rPr>
          <w:rFonts w:hint="eastAsia" w:ascii="仿宋" w:hAnsi="仿宋" w:eastAsia="仿宋" w:cs="仿宋"/>
          <w:color w:val="000000" w:themeColor="text1"/>
          <w:lang w:eastAsia="zh-CN"/>
          <w14:textFill>
            <w14:solidFill>
              <w14:schemeClr w14:val="tx1"/>
            </w14:solidFill>
          </w14:textFill>
        </w:rPr>
        <w:t>县城</w:t>
      </w:r>
      <w:bookmarkEnd w:id="189"/>
      <w:bookmarkEnd w:id="190"/>
      <w:bookmarkEnd w:id="191"/>
    </w:p>
    <w:p w14:paraId="615A439C">
      <w:pPr>
        <w:pageBreakBefore w:val="0"/>
        <w:kinsoku/>
        <w:wordWrap/>
        <w:topLinePunct w:val="0"/>
        <w:bidi w:val="0"/>
        <w:spacing w:line="600" w:lineRule="exact"/>
        <w:ind w:firstLine="64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捍卫政治、经济安全。</w:t>
      </w:r>
      <w:r>
        <w:rPr>
          <w:rFonts w:hint="eastAsia" w:ascii="仿宋" w:hAnsi="仿宋" w:eastAsia="仿宋" w:cs="仿宋"/>
          <w:color w:val="000000" w:themeColor="text1"/>
          <w:sz w:val="32"/>
          <w:szCs w:val="32"/>
          <w14:textFill>
            <w14:solidFill>
              <w14:schemeClr w14:val="tx1"/>
            </w14:solidFill>
          </w14:textFill>
        </w:rPr>
        <w:t>坚决筑牢祖国北疆安全稳定屏障，坚定维护国家政权安全、制度安全、意识形态安全，加强国家安全执法，严密防范敌对势力渗透破坏颠覆分裂活动。加强国家安全宣传教育，增强全民国家安全意识，巩固国家安全人民防线。落实和完善国防动员体系，强化全民国防教育，深化双拥共建，巩固军政军民团结。继续严控新增政府债务，在财力允许范围内合理安排政府投资规模、项目实施进度。加强金融风险监测与评估，防范化解区域金融风险，坚决打击非法金融活动。</w:t>
      </w:r>
      <w:r>
        <w:rPr>
          <w:rFonts w:hint="eastAsia" w:ascii="仿宋" w:hAnsi="仿宋" w:eastAsia="仿宋" w:cs="仿宋"/>
          <w:bCs/>
          <w:color w:val="000000" w:themeColor="text1"/>
          <w:sz w:val="32"/>
          <w:szCs w:val="32"/>
          <w:lang w:bidi="ar"/>
          <w14:textFill>
            <w14:solidFill>
              <w14:schemeClr w14:val="tx1"/>
            </w14:solidFill>
          </w14:textFill>
        </w:rPr>
        <w:t>完善地方粮食储备管理体制机制，确保储备粮食安全</w:t>
      </w:r>
      <w:r>
        <w:rPr>
          <w:rFonts w:hint="eastAsia" w:ascii="仿宋" w:hAnsi="仿宋" w:eastAsia="仿宋" w:cs="仿宋"/>
          <w:bCs/>
          <w:color w:val="000000" w:themeColor="text1"/>
          <w:sz w:val="32"/>
          <w:szCs w:val="32"/>
          <w:lang w:val="zh-Hans" w:bidi="ar"/>
          <w14:textFill>
            <w14:solidFill>
              <w14:schemeClr w14:val="tx1"/>
            </w14:solidFill>
          </w14:textFill>
        </w:rPr>
        <w:t>。加强能源供应渠道建设，提升应急保供水平。</w:t>
      </w:r>
      <w:r>
        <w:rPr>
          <w:rFonts w:hint="eastAsia" w:ascii="仿宋" w:hAnsi="仿宋" w:eastAsia="仿宋" w:cs="仿宋"/>
          <w:bCs/>
          <w:color w:val="000000" w:themeColor="text1"/>
          <w:sz w:val="32"/>
          <w:szCs w:val="32"/>
          <w:lang w:bidi="ar"/>
          <w14:textFill>
            <w14:solidFill>
              <w14:schemeClr w14:val="tx1"/>
            </w14:solidFill>
          </w14:textFill>
        </w:rPr>
        <w:t>大力推进农畜良种选育自主化，推动建设优质种质资源库，提升牧草本地供应能力，</w:t>
      </w:r>
      <w:r>
        <w:rPr>
          <w:rFonts w:hint="eastAsia" w:ascii="仿宋" w:hAnsi="仿宋" w:eastAsia="仿宋" w:cs="仿宋"/>
          <w:color w:val="000000" w:themeColor="text1"/>
          <w:sz w:val="32"/>
          <w:szCs w:val="32"/>
          <w:lang w:bidi="ar"/>
          <w14:textFill>
            <w14:solidFill>
              <w14:schemeClr w14:val="tx1"/>
            </w14:solidFill>
          </w14:textFill>
        </w:rPr>
        <w:t>加强动物防疫、有害生物防治和农业御灾减灾体系建设，巩固农业生产安全。</w:t>
      </w:r>
    </w:p>
    <w:p w14:paraId="6DA5E3A5">
      <w:pPr>
        <w:pageBreakBefore w:val="0"/>
        <w:widowControl w:val="0"/>
        <w:kinsoku/>
        <w:wordWrap/>
        <w:overflowPunct w:val="0"/>
        <w:topLinePunct w:val="0"/>
        <w:bidi w:val="0"/>
        <w:spacing w:before="100" w:beforeAutospacing="1" w:after="100" w:afterAutospacing="1" w:line="600" w:lineRule="exact"/>
        <w:ind w:firstLine="643" w:firstLineChars="200"/>
        <w:contextualSpacing/>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增强综合应急救援和防灾救灾能力。</w:t>
      </w:r>
      <w:r>
        <w:rPr>
          <w:rFonts w:hint="eastAsia" w:ascii="仿宋" w:hAnsi="仿宋" w:eastAsia="仿宋" w:cs="仿宋"/>
          <w:color w:val="000000" w:themeColor="text1"/>
          <w:sz w:val="32"/>
          <w:szCs w:val="32"/>
          <w14:textFill>
            <w14:solidFill>
              <w14:schemeClr w14:val="tx1"/>
            </w14:solidFill>
          </w14:textFill>
        </w:rPr>
        <w:t xml:space="preserve"> 建立森林消防专业队伍，以绰尔河为界分为三大防灭火战区（巴彦乌兰、胡尔勒、好力保），每支队伍50人；2023年底建成21个旗级避难场地；加大应急物资储备力度，建设旗级应急物资综合储备库，加强三大战区应急物资综合物资储备库建设。采取政府购买服务方式，组建一支20人的综合性应急救援队伍。依托旗大数据中心，积极推进危险化学品、非煤矿山和烟花爆竹三大行业监管智慧化管理，搭建旗级应急指挥中心平台和自然灾害综合监测预警平台</w:t>
      </w:r>
      <w:r>
        <w:rPr>
          <w:rFonts w:hint="eastAsia" w:ascii="仿宋" w:hAnsi="仿宋" w:eastAsia="仿宋" w:cs="仿宋"/>
          <w:color w:val="000000" w:themeColor="text1"/>
          <w:sz w:val="32"/>
          <w:szCs w:val="32"/>
          <w:shd w:val="clear" w:color="auto" w:fill="FFFFFF"/>
          <w14:textFill>
            <w14:solidFill>
              <w14:schemeClr w14:val="tx1"/>
            </w14:solidFill>
          </w14:textFill>
        </w:rPr>
        <w:t>。</w:t>
      </w:r>
    </w:p>
    <w:p w14:paraId="6F67A7B2">
      <w:pPr>
        <w:pageBreakBefore w:val="0"/>
        <w:widowControl w:val="0"/>
        <w:kinsoku/>
        <w:wordWrap/>
        <w:topLinePunct w:val="0"/>
        <w:bidi w:val="0"/>
        <w:adjustRightInd w:val="0"/>
        <w:snapToGrid w:val="0"/>
        <w:spacing w:line="60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强化消防能力建设。一是火灾形势持续保持稳定。</w:t>
      </w:r>
      <w:r>
        <w:rPr>
          <w:rFonts w:hint="eastAsia" w:ascii="仿宋" w:hAnsi="仿宋" w:eastAsia="仿宋" w:cs="仿宋"/>
          <w:color w:val="000000" w:themeColor="text1"/>
          <w:sz w:val="32"/>
          <w:szCs w:val="32"/>
          <w14:textFill>
            <w14:solidFill>
              <w14:schemeClr w14:val="tx1"/>
            </w14:solidFill>
          </w14:textFill>
        </w:rPr>
        <w:t>有效预防重特大火灾特别是群死群伤火灾，控制较大以上火灾，不发生较大社会影响火灾事故，确保10万人口年火灾死亡率小于0.35。二是</w:t>
      </w:r>
      <w:r>
        <w:rPr>
          <w:rFonts w:hint="eastAsia" w:ascii="仿宋" w:hAnsi="仿宋" w:eastAsia="仿宋" w:cs="仿宋"/>
          <w:b/>
          <w:bCs/>
          <w:color w:val="000000" w:themeColor="text1"/>
          <w:sz w:val="32"/>
          <w:szCs w:val="32"/>
          <w14:textFill>
            <w14:solidFill>
              <w14:schemeClr w14:val="tx1"/>
            </w14:solidFill>
          </w14:textFill>
        </w:rPr>
        <w:t>消防基础设施更加完善。</w:t>
      </w:r>
      <w:r>
        <w:rPr>
          <w:rFonts w:hint="eastAsia" w:ascii="仿宋" w:hAnsi="仿宋" w:eastAsia="仿宋" w:cs="仿宋"/>
          <w:color w:val="000000" w:themeColor="text1"/>
          <w:sz w:val="32"/>
          <w:szCs w:val="32"/>
          <w14:textFill>
            <w14:solidFill>
              <w14:schemeClr w14:val="tx1"/>
            </w14:solidFill>
          </w14:textFill>
        </w:rPr>
        <w:t>音德尔镇新建1座消防救援站，增加150个市政消火栓，同时随新建、改建道路同步建设和改造加装市政消火栓，达到保护半径不超过150米、间距不大于120米的国家标准要求。每个乡镇、苏木至少建设2个以上的消防水鹤，解决乡镇消防水源空白的问题。三是</w:t>
      </w:r>
      <w:r>
        <w:rPr>
          <w:rFonts w:hint="eastAsia" w:ascii="仿宋" w:hAnsi="仿宋" w:eastAsia="仿宋" w:cs="仿宋"/>
          <w:b/>
          <w:bCs/>
          <w:color w:val="000000" w:themeColor="text1"/>
          <w:sz w:val="32"/>
          <w:szCs w:val="32"/>
          <w14:textFill>
            <w14:solidFill>
              <w14:schemeClr w14:val="tx1"/>
            </w14:solidFill>
          </w14:textFill>
        </w:rPr>
        <w:t>多种消防力量较快发展。</w:t>
      </w:r>
      <w:r>
        <w:rPr>
          <w:rFonts w:hint="eastAsia" w:ascii="仿宋" w:hAnsi="仿宋" w:eastAsia="仿宋" w:cs="仿宋"/>
          <w:color w:val="000000" w:themeColor="text1"/>
          <w:sz w:val="32"/>
          <w:szCs w:val="32"/>
          <w14:textFill>
            <w14:solidFill>
              <w14:schemeClr w14:val="tx1"/>
            </w14:solidFill>
          </w14:textFill>
        </w:rPr>
        <w:t>在阿尔本格勒镇、努文木仁乡、巴彦扎拉嘎乡、巴彦乌兰苏木、阿拉达尔吐苏木、宝力根花苏木建立政府专职消防队或企业志愿消防队，优化站点布局，解决偏远地区无政府专职消防站的问题。</w:t>
      </w:r>
    </w:p>
    <w:p w14:paraId="6ABE5438">
      <w:pPr>
        <w:pStyle w:val="2"/>
        <w:pageBreakBefore w:val="0"/>
        <w:kinsoku/>
        <w:wordWrap/>
        <w:topLinePunct w:val="0"/>
        <w:bidi w:val="0"/>
        <w:spacing w:line="60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完善气象监测站网建设</w:t>
      </w:r>
      <w:r>
        <w:rPr>
          <w:rFonts w:hint="eastAsia" w:ascii="仿宋" w:hAnsi="仿宋" w:eastAsia="仿宋" w:cs="仿宋"/>
          <w:color w:val="000000" w:themeColor="text1"/>
          <w:sz w:val="32"/>
          <w:szCs w:val="32"/>
          <w14:textFill>
            <w14:solidFill>
              <w14:schemeClr w14:val="tx1"/>
            </w14:solidFill>
          </w14:textFill>
        </w:rPr>
        <w:t>，提高人工影响天气作业水平，全面提升综合防灾减灾能力。2025年，人工增雨（雪）作业影响面积达到</w:t>
      </w:r>
      <w:r>
        <w:rPr>
          <w:rFonts w:hint="eastAsia" w:ascii="仿宋" w:hAnsi="仿宋" w:eastAsia="仿宋" w:cs="仿宋"/>
          <w:color w:val="000000" w:themeColor="text1"/>
          <w:sz w:val="32"/>
          <w:szCs w:val="32"/>
          <w:lang w:val="en-US" w:eastAsia="zh-CN"/>
          <w14:textFill>
            <w14:solidFill>
              <w14:schemeClr w14:val="tx1"/>
            </w14:solidFill>
          </w14:textFill>
        </w:rPr>
        <w:t>1万</w:t>
      </w:r>
      <w:r>
        <w:rPr>
          <w:rFonts w:hint="eastAsia" w:ascii="仿宋" w:hAnsi="仿宋" w:eastAsia="仿宋" w:cs="仿宋"/>
          <w:color w:val="000000" w:themeColor="text1"/>
          <w:sz w:val="32"/>
          <w:szCs w:val="32"/>
          <w14:textFill>
            <w14:solidFill>
              <w14:schemeClr w14:val="tx1"/>
            </w14:solidFill>
          </w14:textFill>
        </w:rPr>
        <w:t>平方公里以上，人工防雹作业保护面积达到</w:t>
      </w:r>
      <w:r>
        <w:rPr>
          <w:rFonts w:hint="eastAsia" w:ascii="仿宋" w:hAnsi="仿宋" w:eastAsia="仿宋" w:cs="仿宋"/>
          <w:color w:val="000000" w:themeColor="text1"/>
          <w:sz w:val="32"/>
          <w:szCs w:val="32"/>
          <w:lang w:val="en-US" w:eastAsia="zh-CN"/>
          <w14:textFill>
            <w14:solidFill>
              <w14:schemeClr w14:val="tx1"/>
            </w14:solidFill>
          </w14:textFill>
        </w:rPr>
        <w:t>1600</w:t>
      </w:r>
      <w:r>
        <w:rPr>
          <w:rFonts w:hint="eastAsia" w:ascii="仿宋" w:hAnsi="仿宋" w:eastAsia="仿宋" w:cs="仿宋"/>
          <w:color w:val="000000" w:themeColor="text1"/>
          <w:sz w:val="32"/>
          <w:szCs w:val="32"/>
          <w14:textFill>
            <w14:solidFill>
              <w14:schemeClr w14:val="tx1"/>
            </w14:solidFill>
          </w14:textFill>
        </w:rPr>
        <w:t>平方公里以上。</w:t>
      </w:r>
    </w:p>
    <w:p w14:paraId="714F4F4B">
      <w:pPr>
        <w:pageBreakBefore w:val="0"/>
        <w:kinsoku/>
        <w:wordWrap/>
        <w:topLinePunct w:val="0"/>
        <w:bidi w:val="0"/>
        <w:spacing w:line="600" w:lineRule="exact"/>
        <w:ind w:firstLine="643" w:firstLineChars="200"/>
        <w:textAlignment w:val="auto"/>
        <w:rPr>
          <w:rFonts w:hint="eastAsia" w:ascii="仿宋" w:hAnsi="仿宋" w:eastAsia="仿宋" w:cs="仿宋"/>
          <w:color w:val="000000" w:themeColor="text1"/>
          <w:sz w:val="32"/>
          <w:szCs w:val="40"/>
          <w14:textFill>
            <w14:solidFill>
              <w14:schemeClr w14:val="tx1"/>
            </w14:solidFill>
          </w14:textFill>
        </w:rPr>
      </w:pPr>
      <w:r>
        <w:rPr>
          <w:rFonts w:hint="eastAsia" w:ascii="仿宋" w:hAnsi="仿宋" w:eastAsia="仿宋" w:cs="仿宋"/>
          <w:b/>
          <w:bCs/>
          <w:color w:val="000000" w:themeColor="text1"/>
          <w:sz w:val="32"/>
          <w:szCs w:val="40"/>
          <w14:textFill>
            <w14:solidFill>
              <w14:schemeClr w14:val="tx1"/>
            </w14:solidFill>
          </w14:textFill>
        </w:rPr>
        <w:t>确保全领域生产安全。</w:t>
      </w:r>
      <w:r>
        <w:rPr>
          <w:rFonts w:hint="eastAsia" w:ascii="仿宋" w:hAnsi="仿宋" w:eastAsia="仿宋" w:cs="仿宋"/>
          <w:color w:val="000000" w:themeColor="text1"/>
          <w:sz w:val="32"/>
          <w:szCs w:val="40"/>
          <w14:textFill>
            <w14:solidFill>
              <w14:schemeClr w14:val="tx1"/>
            </w14:solidFill>
          </w14:textFill>
        </w:rPr>
        <w:t>将安全生产专项资金列入本级财政预算、与财政收入保持同步增长增。通过公开招录安全生产、防火防汛、防灾减灾等领域的专业技术人才力度，使监管执法人员达到75%以上。理顺完善苏木乡镇场应急管理机制、应急队伍及设施建设，切实推动基层应急管理体系和能力建设。</w:t>
      </w:r>
    </w:p>
    <w:p w14:paraId="3944903A">
      <w:pPr>
        <w:pageBreakBefore w:val="0"/>
        <w:widowControl w:val="0"/>
        <w:kinsoku/>
        <w:wordWrap/>
        <w:overflowPunct w:val="0"/>
        <w:topLinePunct w:val="0"/>
        <w:bidi w:val="0"/>
        <w:spacing w:before="100" w:beforeAutospacing="1" w:after="100" w:afterAutospacing="1" w:line="600" w:lineRule="exact"/>
        <w:ind w:firstLine="643" w:firstLineChars="200"/>
        <w:contextualSpacing/>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强化基层治理网络。</w:t>
      </w:r>
      <w:r>
        <w:rPr>
          <w:rFonts w:hint="eastAsia" w:ascii="仿宋" w:hAnsi="仿宋" w:eastAsia="仿宋" w:cs="仿宋"/>
          <w:color w:val="000000" w:themeColor="text1"/>
          <w:sz w:val="32"/>
          <w:szCs w:val="32"/>
          <w14:textFill>
            <w14:solidFill>
              <w14:schemeClr w14:val="tx1"/>
            </w14:solidFill>
          </w14:textFill>
        </w:rPr>
        <w:t>依托社会治理指挥服务中心，整合社会治理与基层服务力量，面向广大人民群众提供宣传教育、法律援助、纠纷调解、信访接待一体化服务，提升数字化治理能力，确保基层治理末梢畅通、服务管理网络全覆盖。建设社区管理服务中心、党群服务中心，全面建成社区网格管理信息化体系，提升社区网格化管理水平。配齐配强嘎查村“两委”班子，加强对嘎查村干部监督指导，进一步提高“全科网格”队伍工作效能，形成风清气正、和谐安定的基层秩序。</w:t>
      </w:r>
    </w:p>
    <w:p w14:paraId="5BFD9C4B">
      <w:pPr>
        <w:pageBreakBefore w:val="0"/>
        <w:kinsoku/>
        <w:wordWrap/>
        <w:topLinePunct w:val="0"/>
        <w:bidi w:val="0"/>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创新社会治理机制。</w:t>
      </w:r>
      <w:r>
        <w:rPr>
          <w:rFonts w:hint="eastAsia" w:ascii="仿宋" w:hAnsi="仿宋" w:eastAsia="仿宋" w:cs="仿宋"/>
          <w:color w:val="000000" w:themeColor="text1"/>
          <w:sz w:val="32"/>
          <w:szCs w:val="32"/>
          <w14:textFill>
            <w14:solidFill>
              <w14:schemeClr w14:val="tx1"/>
            </w14:solidFill>
          </w14:textFill>
        </w:rPr>
        <w:t>更好发挥社会工作者、青年志愿者、康养旅居和临时务工人员作用，建设一支有活力、责任心强的基层治理服务队伍，积极投入抗灾抢险、社区网格管理、商贸旅游行业秩序维护等工作。</w:t>
      </w:r>
    </w:p>
    <w:p w14:paraId="0FF04FB1">
      <w:pPr>
        <w:pageBreakBefore w:val="0"/>
        <w:kinsoku/>
        <w:wordWrap/>
        <w:topLinePunct w:val="0"/>
        <w:bidi w:val="0"/>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积极推进“雪亮工程”建设。</w:t>
      </w:r>
      <w:r>
        <w:rPr>
          <w:rFonts w:hint="eastAsia" w:ascii="仿宋" w:hAnsi="仿宋" w:eastAsia="仿宋" w:cs="仿宋"/>
          <w:color w:val="000000" w:themeColor="text1"/>
          <w:sz w:val="32"/>
          <w:szCs w:val="32"/>
          <w14:textFill>
            <w14:solidFill>
              <w14:schemeClr w14:val="tx1"/>
            </w14:solidFill>
          </w14:textFill>
        </w:rPr>
        <w:t>坚持优先覆盖全旗重点区域、优先覆盖主要道路出入口、全面覆盖城区全区域，擦亮守护百姓的“千里眼”。到2021年底，基本实现城镇小区、嘎查村和重点区域监控点位全覆盖。提升图像信息云存储、智能分析能力，强化实时预警。建立监控视频资源共享体系，统筹调度各部门及企事业单位监控视频网络，开发报警救援、公共服务、经济分析等创新应用。</w:t>
      </w:r>
    </w:p>
    <w:p w14:paraId="72310D24">
      <w:pPr>
        <w:pageBreakBefore w:val="0"/>
        <w:widowControl w:val="0"/>
        <w:kinsoku/>
        <w:wordWrap/>
        <w:topLinePunct w:val="0"/>
        <w:bidi w:val="0"/>
        <w:spacing w:line="60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保持社会和谐稳定。</w:t>
      </w:r>
      <w:r>
        <w:rPr>
          <w:rFonts w:hint="eastAsia" w:ascii="仿宋" w:hAnsi="仿宋" w:eastAsia="仿宋" w:cs="仿宋"/>
          <w:color w:val="000000" w:themeColor="text1"/>
          <w:sz w:val="32"/>
          <w:szCs w:val="32"/>
          <w14:textFill>
            <w14:solidFill>
              <w14:schemeClr w14:val="tx1"/>
            </w14:solidFill>
          </w14:textFill>
        </w:rPr>
        <w:t>完善新冠肺炎疫情和其他重大传染病常态化预警监测、联防联控机制。在统筹推进疫情防控和经济发展中化解经济下行压力冲击，积极调解民间借贷违约、欠薪等经济纠纷，加大对残疾人、下岗职工、失业退役军人等特殊困难群体的关照帮扶。全面巩固扫黑除恶战果，严打有组织犯罪，坚持公检法协同作战、警力下沉基层，严惩盘踞基层的村痞村霸，加大排查筛查力度，铲除传销组织、邪教组织存活土壤。</w:t>
      </w:r>
    </w:p>
    <w:p w14:paraId="774B68E6">
      <w:pPr>
        <w:pStyle w:val="2"/>
        <w:rPr>
          <w:rFonts w:hint="eastAsia"/>
        </w:rPr>
      </w:pPr>
    </w:p>
    <w:p w14:paraId="28E05FC7">
      <w:pPr>
        <w:pStyle w:val="2"/>
        <w:rPr>
          <w:rFonts w:hint="eastAsia" w:ascii="仿宋" w:hAnsi="仿宋" w:eastAsia="仿宋" w:cs="仿宋"/>
          <w:color w:val="000000" w:themeColor="text1"/>
          <w14:textFill>
            <w14:solidFill>
              <w14:schemeClr w14:val="tx1"/>
            </w14:solidFill>
          </w14:textFill>
        </w:rPr>
      </w:pPr>
    </w:p>
    <w:tbl>
      <w:tblPr>
        <w:tblStyle w:val="13"/>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09B6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340" w:type="dxa"/>
            <w:tcBorders>
              <w:top w:val="single" w:color="auto" w:sz="4" w:space="0"/>
              <w:left w:val="single" w:color="auto" w:sz="4" w:space="0"/>
              <w:bottom w:val="single" w:color="auto" w:sz="4" w:space="0"/>
              <w:right w:val="single" w:color="auto" w:sz="4" w:space="0"/>
            </w:tcBorders>
          </w:tcPr>
          <w:p w14:paraId="2F2EE297">
            <w:pPr>
              <w:widowControl w:val="0"/>
              <w:spacing w:line="360" w:lineRule="auto"/>
              <w:jc w:val="center"/>
              <w:rPr>
                <w:rFonts w:hint="eastAsia" w:ascii="仿宋" w:hAnsi="仿宋" w:eastAsia="方正小标宋简体" w:cs="仿宋"/>
                <w:bCs/>
                <w:color w:val="000000" w:themeColor="text1"/>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专栏</w:t>
            </w: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9</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：“十四五”</w:t>
            </w:r>
            <w:r>
              <w:rPr>
                <w:rFonts w:hint="eastAsia" w:ascii="方正小标宋简体" w:hAnsi="方正小标宋简体" w:eastAsia="方正小标宋简体" w:cs="方正小标宋简体"/>
                <w:b/>
                <w:bCs/>
                <w:color w:val="000000" w:themeColor="text1"/>
                <w:sz w:val="32"/>
                <w:szCs w:val="32"/>
                <w:lang w:eastAsia="zh-CN"/>
                <w14:textFill>
                  <w14:solidFill>
                    <w14:schemeClr w14:val="tx1"/>
                  </w14:solidFill>
                </w14:textFill>
              </w:rPr>
              <w:t>应急、文化领域重点项目</w:t>
            </w:r>
          </w:p>
        </w:tc>
      </w:tr>
      <w:tr w14:paraId="1CB8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8340" w:type="dxa"/>
            <w:tcBorders>
              <w:top w:val="single" w:color="auto" w:sz="4" w:space="0"/>
              <w:left w:val="single" w:color="auto" w:sz="4" w:space="0"/>
              <w:bottom w:val="single" w:color="auto" w:sz="4" w:space="0"/>
              <w:right w:val="single" w:color="auto" w:sz="4" w:space="0"/>
            </w:tcBorders>
          </w:tcPr>
          <w:p w14:paraId="619CA6B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lang w:val="en-US" w:eastAsia="zh-CN"/>
              </w:rPr>
              <w:t>1.</w:t>
            </w:r>
            <w:r>
              <w:rPr>
                <w:rFonts w:hint="eastAsia"/>
              </w:rPr>
              <w:t>建设扎赉特旗应急管理局应急指挥中心项目，建筑面积4000㎡。</w:t>
            </w:r>
          </w:p>
          <w:p w14:paraId="2EEA7F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lang w:val="en-US" w:eastAsia="zh-CN"/>
              </w:rPr>
              <w:t>2.</w:t>
            </w:r>
            <w:r>
              <w:rPr>
                <w:rFonts w:hint="eastAsia"/>
              </w:rPr>
              <w:t>建设扎赉特旗应急管理局应急物资综合储备库项目，总建筑面积12000</w:t>
            </w:r>
            <w:r>
              <w:rPr>
                <w:rFonts w:hint="eastAsia"/>
                <w:lang w:eastAsia="zh-CN"/>
              </w:rPr>
              <w:t>平方米</w:t>
            </w:r>
            <w:r>
              <w:rPr>
                <w:rFonts w:hint="eastAsia"/>
              </w:rPr>
              <w:t>。</w:t>
            </w:r>
          </w:p>
          <w:p w14:paraId="00434DC6">
            <w:pPr>
              <w:pStyle w:val="2"/>
              <w:spacing w:line="360" w:lineRule="auto"/>
              <w:ind w:firstLine="480"/>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3、建设乌兰牧骑演艺中心。</w:t>
            </w:r>
          </w:p>
          <w:p w14:paraId="53D0736E">
            <w:pPr>
              <w:pStyle w:val="2"/>
              <w:spacing w:line="360" w:lineRule="auto"/>
              <w:ind w:firstLine="480"/>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4、数字文化馆建设。</w:t>
            </w:r>
          </w:p>
        </w:tc>
      </w:tr>
    </w:tbl>
    <w:p w14:paraId="79116F59">
      <w:pPr>
        <w:spacing w:line="360" w:lineRule="auto"/>
        <w:ind w:firstLine="64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br w:type="page"/>
      </w:r>
    </w:p>
    <w:p w14:paraId="21C07752">
      <w:pPr>
        <w:pStyle w:val="3"/>
        <w:pageBreakBefore w:val="0"/>
        <w:numPr>
          <w:ilvl w:val="0"/>
          <w:numId w:val="10"/>
        </w:numPr>
        <w:kinsoku/>
        <w:wordWrap/>
        <w:overflowPunct/>
        <w:topLinePunct w:val="0"/>
        <w:autoSpaceDE/>
        <w:autoSpaceDN/>
        <w:bidi w:val="0"/>
        <w:adjustRightInd/>
        <w:snapToGrid/>
        <w:spacing w:before="0" w:beforeLines="0" w:after="0" w:afterLines="0" w:line="600" w:lineRule="exact"/>
        <w:ind w:firstLine="723"/>
        <w:jc w:val="both"/>
        <w:textAlignment w:val="auto"/>
        <w:rPr>
          <w:rFonts w:hint="eastAsia" w:ascii="黑体" w:hAnsi="黑体" w:eastAsia="黑体" w:cs="黑体"/>
          <w:b w:val="0"/>
          <w:bCs w:val="0"/>
          <w:color w:val="000000" w:themeColor="text1"/>
          <w14:textFill>
            <w14:solidFill>
              <w14:schemeClr w14:val="tx1"/>
            </w14:solidFill>
          </w14:textFill>
        </w:rPr>
      </w:pPr>
      <w:bookmarkStart w:id="192" w:name="_Toc61280866"/>
      <w:bookmarkStart w:id="193" w:name="_Toc10191"/>
      <w:r>
        <w:rPr>
          <w:rFonts w:hint="eastAsia" w:ascii="黑体" w:hAnsi="黑体" w:eastAsia="黑体" w:cs="黑体"/>
          <w:b w:val="0"/>
          <w:bCs w:val="0"/>
          <w:color w:val="000000" w:themeColor="text1"/>
          <w14:textFill>
            <w14:solidFill>
              <w14:schemeClr w14:val="tx1"/>
            </w14:solidFill>
          </w14:textFill>
        </w:rPr>
        <w:tab/>
      </w:r>
      <w:bookmarkStart w:id="194" w:name="_Toc3861_WPSOffice_Level1"/>
      <w:bookmarkStart w:id="195" w:name="_Toc11951"/>
      <w:bookmarkStart w:id="196" w:name="_Toc15093"/>
      <w:r>
        <w:rPr>
          <w:rFonts w:hint="eastAsia" w:ascii="黑体" w:hAnsi="黑体" w:eastAsia="黑体" w:cs="黑体"/>
          <w:b w:val="0"/>
          <w:bCs w:val="0"/>
          <w:color w:val="000000" w:themeColor="text1"/>
          <w14:textFill>
            <w14:solidFill>
              <w14:schemeClr w14:val="tx1"/>
            </w14:solidFill>
          </w14:textFill>
        </w:rPr>
        <w:t>强化实施与保障</w:t>
      </w:r>
      <w:bookmarkEnd w:id="192"/>
      <w:r>
        <w:rPr>
          <w:rFonts w:hint="eastAsia" w:ascii="黑体" w:hAnsi="黑体" w:eastAsia="黑体" w:cs="黑体"/>
          <w:b w:val="0"/>
          <w:bCs w:val="0"/>
          <w:color w:val="000000" w:themeColor="text1"/>
          <w14:textFill>
            <w14:solidFill>
              <w14:schemeClr w14:val="tx1"/>
            </w14:solidFill>
          </w14:textFill>
        </w:rPr>
        <w:t>　构筑</w:t>
      </w:r>
      <w:r>
        <w:rPr>
          <w:rFonts w:hint="eastAsia" w:ascii="黑体" w:hAnsi="黑体" w:eastAsia="黑体" w:cs="黑体"/>
          <w:b w:val="0"/>
          <w:bCs w:val="0"/>
          <w:color w:val="000000" w:themeColor="text1"/>
          <w:lang w:eastAsia="zh-CN"/>
          <w14:textFill>
            <w14:solidFill>
              <w14:schemeClr w14:val="tx1"/>
            </w14:solidFill>
          </w14:textFill>
        </w:rPr>
        <w:t>务实</w:t>
      </w:r>
      <w:r>
        <w:rPr>
          <w:rFonts w:hint="eastAsia" w:ascii="黑体" w:hAnsi="黑体" w:eastAsia="黑体" w:cs="黑体"/>
          <w:b w:val="0"/>
          <w:bCs w:val="0"/>
          <w:color w:val="000000" w:themeColor="text1"/>
          <w14:textFill>
            <w14:solidFill>
              <w14:schemeClr w14:val="tx1"/>
            </w14:solidFill>
          </w14:textFill>
        </w:rPr>
        <w:t>扎赉特</w:t>
      </w:r>
      <w:bookmarkEnd w:id="193"/>
      <w:bookmarkEnd w:id="194"/>
      <w:bookmarkEnd w:id="195"/>
      <w:bookmarkEnd w:id="196"/>
    </w:p>
    <w:p w14:paraId="00E761E3">
      <w:pPr>
        <w:pageBreakBefore w:val="0"/>
        <w:numPr>
          <w:ilvl w:val="0"/>
          <w:numId w:val="0"/>
        </w:numPr>
        <w:kinsoku/>
        <w:wordWrap/>
        <w:overflowPunct/>
        <w:topLinePunct w:val="0"/>
        <w:autoSpaceDE/>
        <w:autoSpaceDN/>
        <w:bidi w:val="0"/>
        <w:adjustRightInd/>
        <w:snapToGrid/>
        <w:spacing w:line="600" w:lineRule="exact"/>
        <w:textAlignment w:val="auto"/>
        <w:rPr>
          <w:rFonts w:hint="eastAsia"/>
        </w:rPr>
      </w:pPr>
    </w:p>
    <w:p w14:paraId="7944EF81">
      <w:pPr>
        <w:keepNext w:val="0"/>
        <w:keepLines w:val="0"/>
        <w:pageBreakBefore w:val="0"/>
        <w:widowControl/>
        <w:kinsoku/>
        <w:wordWrap/>
        <w:overflowPunct/>
        <w:topLinePunct w:val="0"/>
        <w:autoSpaceDE/>
        <w:autoSpaceDN/>
        <w:bidi w:val="0"/>
        <w:adjustRightInd/>
        <w:snapToGrid/>
        <w:spacing w:line="600" w:lineRule="exact"/>
        <w:ind w:firstLine="641"/>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贯彻落实本规划，要加强党对经济社会发展工作的领导，进一步健全体制机制，提升统筹协调力度，落实资金和制度保障，合理引导和配置各方资源，大力发扬吃苦耐劳、一往无前、不达目的决不罢休的“蒙古马精神”，确保各项任务如期圆满完成。</w:t>
      </w:r>
    </w:p>
    <w:p w14:paraId="3D50CE82">
      <w:pPr>
        <w:pStyle w:val="4"/>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14:textFill>
            <w14:solidFill>
              <w14:schemeClr w14:val="tx1"/>
            </w14:solidFill>
          </w14:textFill>
        </w:rPr>
      </w:pPr>
      <w:bookmarkStart w:id="197" w:name="_Toc61280867"/>
      <w:bookmarkStart w:id="198" w:name="_Toc15532"/>
      <w:bookmarkStart w:id="199" w:name="_Toc25713"/>
      <w:bookmarkStart w:id="200" w:name="_Toc23860"/>
      <w:r>
        <w:rPr>
          <w:rFonts w:hint="eastAsia" w:ascii="仿宋" w:hAnsi="仿宋" w:eastAsia="仿宋" w:cs="仿宋"/>
          <w:color w:val="000000" w:themeColor="text1"/>
          <w14:textFill>
            <w14:solidFill>
              <w14:schemeClr w14:val="tx1"/>
            </w14:solidFill>
          </w14:textFill>
        </w:rPr>
        <w:t>第一节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加强党的领导</w:t>
      </w:r>
      <w:bookmarkEnd w:id="197"/>
      <w:bookmarkEnd w:id="198"/>
      <w:bookmarkEnd w:id="199"/>
      <w:bookmarkEnd w:id="200"/>
    </w:p>
    <w:p w14:paraId="4876FDCD">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党的领导是实现本规划各项目标任务的根本保证。要增强“四个意识”、坚定“四个自信”、做到“两个维护”，把党的领导始终贯穿于扎赉特旗经济和社会发展的各领域、各环节。由旗委总揽全局，成立扎赉特旗“十四五”规划领导小组，由旗委旗政府主要领导担任组长，对“十四五”规划工作统一领导、统一部署、统筹协调、考核评价和督查督办。全面完善党领导社会经济发展工作的体制机制，充分发挥党委的领导核心作用，强化基层党组织的落地执行能力，为“十四五”规划各项任务的推进落实提供组织保障。</w:t>
      </w:r>
    </w:p>
    <w:p w14:paraId="73651B80">
      <w:pPr>
        <w:pStyle w:val="4"/>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14:textFill>
            <w14:solidFill>
              <w14:schemeClr w14:val="tx1"/>
            </w14:solidFill>
          </w14:textFill>
        </w:rPr>
      </w:pPr>
      <w:bookmarkStart w:id="201" w:name="_Toc18144"/>
      <w:bookmarkStart w:id="202" w:name="_Toc27498"/>
      <w:bookmarkStart w:id="203" w:name="_Toc61280868"/>
      <w:bookmarkStart w:id="204" w:name="_Toc4682"/>
      <w:r>
        <w:rPr>
          <w:rFonts w:hint="eastAsia" w:ascii="仿宋" w:hAnsi="仿宋" w:eastAsia="仿宋" w:cs="仿宋"/>
          <w:color w:val="000000" w:themeColor="text1"/>
          <w14:textFill>
            <w14:solidFill>
              <w14:schemeClr w14:val="tx1"/>
            </w14:solidFill>
          </w14:textFill>
        </w:rPr>
        <w:t>第二节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推进社会主义政治建设</w:t>
      </w:r>
      <w:bookmarkEnd w:id="201"/>
      <w:bookmarkEnd w:id="202"/>
      <w:bookmarkEnd w:id="203"/>
      <w:bookmarkEnd w:id="204"/>
    </w:p>
    <w:p w14:paraId="163C25E8">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党的领导、人民当家作主、依法治国有机统一，坚持和完善人民代表大会制度，密切人大代表同人民群众的联系，更好发挥人大代表作用，加强旗人大对“一府一委两院”的监督，保障人民依法通过各种途径和形式参与旗域经济管理和社会治理。坚持和完善中国共产党领导的多党合作和政治协商制度，充分发挥民主党派、工商联和无党派人士参政议政积极性，健全同党外知识分子、非公有制经济人士、新社会阶层人士的沟通联络机制，加强旗政协专门协商机制建设，提高建言资政和凝聚共识能力。发挥旗工会、共青团、妇联等人民团体作用，完善大统战工作格局，巩固和发展大团结大联合局面。</w:t>
      </w:r>
    </w:p>
    <w:p w14:paraId="4430193C">
      <w:pPr>
        <w:pStyle w:val="4"/>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14:textFill>
            <w14:solidFill>
              <w14:schemeClr w14:val="tx1"/>
            </w14:solidFill>
          </w14:textFill>
        </w:rPr>
      </w:pPr>
      <w:bookmarkStart w:id="205" w:name="_Toc23341"/>
      <w:bookmarkStart w:id="206" w:name="_Toc7183"/>
      <w:bookmarkStart w:id="207" w:name="_Toc61280869"/>
      <w:bookmarkStart w:id="208" w:name="_Toc26818"/>
      <w:r>
        <w:rPr>
          <w:rFonts w:hint="eastAsia" w:ascii="仿宋" w:hAnsi="仿宋" w:eastAsia="仿宋" w:cs="仿宋"/>
          <w:color w:val="000000" w:themeColor="text1"/>
          <w14:textFill>
            <w14:solidFill>
              <w14:schemeClr w14:val="tx1"/>
            </w14:solidFill>
          </w14:textFill>
        </w:rPr>
        <w:t>第三节</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完善规划协调机制</w:t>
      </w:r>
      <w:bookmarkEnd w:id="205"/>
      <w:bookmarkEnd w:id="206"/>
      <w:bookmarkEnd w:id="207"/>
      <w:bookmarkEnd w:id="208"/>
    </w:p>
    <w:p w14:paraId="548DAED3">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建立健全规划衔接机制，积极推进本规划与国家、</w:t>
      </w:r>
      <w:r>
        <w:rPr>
          <w:rFonts w:hint="eastAsia" w:ascii="仿宋" w:hAnsi="仿宋" w:eastAsia="仿宋" w:cs="仿宋"/>
          <w:color w:val="000000" w:themeColor="text1"/>
          <w:sz w:val="32"/>
          <w:szCs w:val="32"/>
          <w:lang w:val="en-US" w:eastAsia="zh-CN"/>
          <w14:textFill>
            <w14:solidFill>
              <w14:schemeClr w14:val="tx1"/>
            </w14:solidFill>
          </w14:textFill>
        </w:rPr>
        <w:t>自治区</w:t>
      </w:r>
      <w:r>
        <w:rPr>
          <w:rFonts w:hint="eastAsia" w:ascii="仿宋" w:hAnsi="仿宋" w:eastAsia="仿宋" w:cs="仿宋"/>
          <w:color w:val="000000" w:themeColor="text1"/>
          <w:sz w:val="32"/>
          <w:szCs w:val="32"/>
          <w14:textFill>
            <w14:solidFill>
              <w14:schemeClr w14:val="tx1"/>
            </w14:solidFill>
          </w14:textFill>
        </w:rPr>
        <w:t>、兴安盟“十四五”规划以及扎赉特旗各类专项规划的相互衔接。强化规划指引作用，以国民经济和社会发展规划为统领，以专项规划、土地利用总体规划、区域规划、城镇规划、村屯发展规划等为支撑，按照下位规划服从上位规划、下级规划服务上级规划、等位规划相互协调的原则，形成统一协调、定位清晰、功能互补、责任明确的规划体系。</w:t>
      </w:r>
    </w:p>
    <w:p w14:paraId="56663920">
      <w:pPr>
        <w:pStyle w:val="4"/>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14:textFill>
            <w14:solidFill>
              <w14:schemeClr w14:val="tx1"/>
            </w14:solidFill>
          </w14:textFill>
        </w:rPr>
      </w:pPr>
      <w:bookmarkStart w:id="209" w:name="_Toc17802"/>
      <w:bookmarkStart w:id="210" w:name="_Toc25487"/>
      <w:bookmarkStart w:id="211" w:name="_Toc7070"/>
      <w:bookmarkStart w:id="212" w:name="_Toc61280870"/>
      <w:r>
        <w:rPr>
          <w:rFonts w:hint="eastAsia" w:ascii="仿宋" w:hAnsi="仿宋" w:eastAsia="仿宋" w:cs="仿宋"/>
          <w:color w:val="000000" w:themeColor="text1"/>
          <w14:textFill>
            <w14:solidFill>
              <w14:schemeClr w14:val="tx1"/>
            </w14:solidFill>
          </w14:textFill>
        </w:rPr>
        <w:t>第四节　</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强化落实监督</w:t>
      </w:r>
      <w:bookmarkEnd w:id="209"/>
      <w:bookmarkEnd w:id="210"/>
      <w:bookmarkEnd w:id="211"/>
      <w:bookmarkEnd w:id="212"/>
    </w:p>
    <w:p w14:paraId="3FF5B752">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健全完善党委领导、政府实施、人大和政协监督的规划推进落实机制，建立主要领导第一责任人制度。提升规划目标任务约束力和权威性，将规划确定的目标任务逐项分解，形成年度工作计划，明确牵头单位、工作责任和完成期限。加强专项工作资金预算编制，研究建立适应经济社会发展水平的动态资金保障机制，切实保障重点工程和建设项目的资金供给。</w:t>
      </w:r>
    </w:p>
    <w:p w14:paraId="05E9EC06">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依法开展规划实施的监督和评估，形成动态监督考核机制</w:t>
      </w:r>
      <w:bookmarkStart w:id="213" w:name="_Toc32023"/>
      <w:r>
        <w:rPr>
          <w:rFonts w:hint="eastAsia" w:ascii="仿宋" w:hAnsi="仿宋" w:eastAsia="仿宋" w:cs="仿宋"/>
          <w:color w:val="000000" w:themeColor="text1"/>
          <w:sz w:val="32"/>
          <w:szCs w:val="32"/>
          <w14:textFill>
            <w14:solidFill>
              <w14:schemeClr w14:val="tx1"/>
            </w14:solidFill>
          </w14:textFill>
        </w:rPr>
        <w:t>，把约束性指标和重大任务纳入各部门绩效考核体系。开展年度跟踪监测、中期评估和末期全面评估，把监测评估结果作为绩效考核和改进政府工作的重要依据。推进规划实施的公众参与度，加强规划宣传解读工作，进一步明确目标、统一思想、分解任务、落实责任，全力以赴完成规划确定的各项目标任务。</w:t>
      </w:r>
      <w:bookmarkEnd w:id="213"/>
    </w:p>
    <w:p w14:paraId="7B0E7183">
      <w:pPr>
        <w:pageBreakBefore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themeColor="text1"/>
          <w14:textFill>
            <w14:solidFill>
              <w14:schemeClr w14:val="tx1"/>
            </w14:solidFill>
          </w14:textFill>
        </w:rPr>
      </w:pPr>
    </w:p>
    <w:p w14:paraId="2CCE572E">
      <w:pPr>
        <w:spacing w:line="360" w:lineRule="auto"/>
        <w:ind w:firstLine="640"/>
        <w:jc w:val="both"/>
        <w:rPr>
          <w:rFonts w:hint="eastAsia" w:ascii="仿宋" w:hAnsi="仿宋" w:eastAsia="仿宋" w:cs="仿宋"/>
          <w:color w:val="000000" w:themeColor="text1"/>
          <w14:textFill>
            <w14:solidFill>
              <w14:schemeClr w14:val="tx1"/>
            </w14:solidFill>
          </w14:textFill>
        </w:rPr>
      </w:pPr>
    </w:p>
    <w:p w14:paraId="635538A0">
      <w:pPr>
        <w:spacing w:line="360" w:lineRule="auto"/>
        <w:ind w:firstLine="640"/>
        <w:jc w:val="both"/>
        <w:rPr>
          <w:rFonts w:hint="eastAsia" w:ascii="仿宋" w:hAnsi="仿宋" w:eastAsia="仿宋" w:cs="仿宋"/>
          <w:color w:val="000000" w:themeColor="text1"/>
          <w14:textFill>
            <w14:solidFill>
              <w14:schemeClr w14:val="tx1"/>
            </w14:solidFill>
          </w14:textFill>
        </w:rPr>
      </w:pPr>
    </w:p>
    <w:p w14:paraId="49B66BC2">
      <w:pPr>
        <w:spacing w:line="360" w:lineRule="auto"/>
        <w:ind w:firstLine="640"/>
        <w:jc w:val="both"/>
        <w:rPr>
          <w:rFonts w:hint="eastAsia" w:ascii="仿宋" w:hAnsi="仿宋" w:eastAsia="仿宋" w:cs="仿宋"/>
          <w:color w:val="000000" w:themeColor="text1"/>
          <w14:textFill>
            <w14:solidFill>
              <w14:schemeClr w14:val="tx1"/>
            </w14:solidFill>
          </w14:textFill>
        </w:rPr>
      </w:pPr>
    </w:p>
    <w:p w14:paraId="1BF596CB">
      <w:pPr>
        <w:rPr>
          <w:rFonts w:hint="eastAsia" w:ascii="仿宋" w:hAnsi="仿宋" w:eastAsia="仿宋" w:cs="仿宋"/>
          <w:color w:val="000000" w:themeColor="text1"/>
          <w14:textFill>
            <w14:solidFill>
              <w14:schemeClr w14:val="tx1"/>
            </w14:solidFill>
          </w14:textFill>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EB5E">
    <w:pPr>
      <w:pStyle w:val="8"/>
      <w:tabs>
        <w:tab w:val="clear" w:pos="8306"/>
      </w:tabs>
      <w:ind w:right="360" w:firstLine="360"/>
      <w:rPr>
        <w:rFonts w:hint="eastAsia" w:eastAsia="仿宋_GB2312"/>
        <w:lang w:eastAsia="zh-CN"/>
      </w:rPr>
    </w:pPr>
    <w:r>
      <w:rPr>
        <w:rFonts w:hint="eastAsia"/>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AC22">
    <w:pPr>
      <w:pStyle w:val="8"/>
      <w:tabs>
        <w:tab w:val="clear" w:pos="8306"/>
      </w:tabs>
      <w:ind w:right="360" w:firstLine="360"/>
      <w:rPr>
        <w:rFonts w:hint="eastAsia" w:eastAsia="仿宋_GB2312"/>
        <w:lang w:eastAsia="zh-CN"/>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292735"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2735"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B8461">
                          <w:pPr>
                            <w:pStyle w:val="8"/>
                            <w:ind w:firstLine="36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100</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pt;width:23.05pt;mso-position-horizontal:inside;mso-position-horizontal-relative:margin;mso-wrap-style:none;z-index:251659264;mso-width-relative:page;mso-height-relative:page;" filled="f" stroked="f" coordsize="21600,21600" o:gfxdata="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MVbSAAAAAwEAAA8AAAAAAAAAAQAgAAAAIgAAAGRycy9kb3ducmV2LnhtbFBLAQIUABQA&#10;AAAIAIdO4kC+zIciLwIAAFMEAAAOAAAAAAAAAAEAIAAAACEBAABkcnMvZTJvRG9jLnhtbFBLBQYA&#10;AAAABgAGAFkBAADCBQAAAAA=&#10;">
              <v:fill on="f" focussize="0,0"/>
              <v:stroke on="f" weight="0.5pt"/>
              <v:imagedata o:title=""/>
              <o:lock v:ext="edit" aspectratio="f"/>
              <v:textbox inset="0mm,0mm,0mm,0mm" style="mso-fit-shape-to-text:t;">
                <w:txbxContent>
                  <w:p w14:paraId="5BFB8461">
                    <w:pPr>
                      <w:pStyle w:val="8"/>
                      <w:ind w:firstLine="36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100</w:t>
                    </w:r>
                    <w:r>
                      <w:rPr>
                        <w:rFonts w:hint="eastAsia" w:asciiTheme="majorEastAsia" w:hAnsiTheme="majorEastAsia" w:eastAsiaTheme="majorEastAsia" w:cstheme="majorEastAsia"/>
                        <w:sz w:val="24"/>
                        <w:szCs w:val="24"/>
                      </w:rPr>
                      <w:fldChar w:fldCharType="end"/>
                    </w:r>
                  </w:p>
                </w:txbxContent>
              </v:textbox>
            </v:shape>
          </w:pict>
        </mc:Fallback>
      </mc:AlternateContent>
    </w:r>
    <w:r>
      <w:rPr>
        <w:rFonts w:hint="eastAsia"/>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552D">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2355"/>
    <w:multiLevelType w:val="singleLevel"/>
    <w:tmpl w:val="80302355"/>
    <w:lvl w:ilvl="0" w:tentative="0">
      <w:start w:val="1"/>
      <w:numFmt w:val="decimal"/>
      <w:lvlText w:val="%1."/>
      <w:lvlJc w:val="left"/>
      <w:pPr>
        <w:tabs>
          <w:tab w:val="left" w:pos="312"/>
        </w:tabs>
      </w:pPr>
    </w:lvl>
  </w:abstractNum>
  <w:abstractNum w:abstractNumId="1">
    <w:nsid w:val="9CD99DC4"/>
    <w:multiLevelType w:val="singleLevel"/>
    <w:tmpl w:val="9CD99DC4"/>
    <w:lvl w:ilvl="0" w:tentative="0">
      <w:start w:val="1"/>
      <w:numFmt w:val="decimal"/>
      <w:lvlText w:val="%1."/>
      <w:lvlJc w:val="left"/>
      <w:pPr>
        <w:tabs>
          <w:tab w:val="left" w:pos="312"/>
        </w:tabs>
      </w:pPr>
    </w:lvl>
  </w:abstractNum>
  <w:abstractNum w:abstractNumId="2">
    <w:nsid w:val="9CEEE100"/>
    <w:multiLevelType w:val="singleLevel"/>
    <w:tmpl w:val="9CEEE100"/>
    <w:lvl w:ilvl="0" w:tentative="0">
      <w:start w:val="8"/>
      <w:numFmt w:val="chineseCounting"/>
      <w:suff w:val="space"/>
      <w:lvlText w:val="第%1章"/>
      <w:lvlJc w:val="left"/>
      <w:rPr>
        <w:rFonts w:hint="eastAsia"/>
      </w:rPr>
    </w:lvl>
  </w:abstractNum>
  <w:abstractNum w:abstractNumId="3">
    <w:nsid w:val="CC94F2C8"/>
    <w:multiLevelType w:val="singleLevel"/>
    <w:tmpl w:val="CC94F2C8"/>
    <w:lvl w:ilvl="0" w:tentative="0">
      <w:start w:val="1"/>
      <w:numFmt w:val="decimal"/>
      <w:suff w:val="nothing"/>
      <w:lvlText w:val="%1、"/>
      <w:lvlJc w:val="left"/>
    </w:lvl>
  </w:abstractNum>
  <w:abstractNum w:abstractNumId="4">
    <w:nsid w:val="FF02107E"/>
    <w:multiLevelType w:val="singleLevel"/>
    <w:tmpl w:val="FF02107E"/>
    <w:lvl w:ilvl="0" w:tentative="0">
      <w:start w:val="1"/>
      <w:numFmt w:val="decimal"/>
      <w:suff w:val="nothing"/>
      <w:lvlText w:val="%1、"/>
      <w:lvlJc w:val="left"/>
    </w:lvl>
  </w:abstractNum>
  <w:abstractNum w:abstractNumId="5">
    <w:nsid w:val="27FA0BF2"/>
    <w:multiLevelType w:val="singleLevel"/>
    <w:tmpl w:val="27FA0BF2"/>
    <w:lvl w:ilvl="0" w:tentative="0">
      <w:start w:val="1"/>
      <w:numFmt w:val="chineseCounting"/>
      <w:suff w:val="nothing"/>
      <w:lvlText w:val="%1、"/>
      <w:lvlJc w:val="left"/>
      <w:rPr>
        <w:rFonts w:hint="eastAsia"/>
      </w:rPr>
    </w:lvl>
  </w:abstractNum>
  <w:abstractNum w:abstractNumId="6">
    <w:nsid w:val="41F735DF"/>
    <w:multiLevelType w:val="singleLevel"/>
    <w:tmpl w:val="41F735DF"/>
    <w:lvl w:ilvl="0" w:tentative="0">
      <w:start w:val="2"/>
      <w:numFmt w:val="chineseCounting"/>
      <w:suff w:val="nothing"/>
      <w:lvlText w:val="%1、"/>
      <w:lvlJc w:val="left"/>
      <w:rPr>
        <w:rFonts w:hint="eastAsia"/>
      </w:rPr>
    </w:lvl>
  </w:abstractNum>
  <w:abstractNum w:abstractNumId="7">
    <w:nsid w:val="58CB21DB"/>
    <w:multiLevelType w:val="multilevel"/>
    <w:tmpl w:val="58CB21DB"/>
    <w:lvl w:ilvl="0" w:tentative="0">
      <w:start w:val="1"/>
      <w:numFmt w:val="japaneseCounting"/>
      <w:lvlText w:val="第%1节"/>
      <w:lvlJc w:val="left"/>
      <w:pPr>
        <w:ind w:left="1120" w:hanging="11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5BA55B4B"/>
    <w:multiLevelType w:val="singleLevel"/>
    <w:tmpl w:val="5BA55B4B"/>
    <w:lvl w:ilvl="0" w:tentative="0">
      <w:start w:val="2"/>
      <w:numFmt w:val="chineseCounting"/>
      <w:suff w:val="space"/>
      <w:lvlText w:val="第%1章"/>
      <w:lvlJc w:val="left"/>
      <w:rPr>
        <w:rFonts w:hint="eastAsia"/>
      </w:rPr>
    </w:lvl>
  </w:abstractNum>
  <w:abstractNum w:abstractNumId="9">
    <w:nsid w:val="5F15A6D7"/>
    <w:multiLevelType w:val="singleLevel"/>
    <w:tmpl w:val="5F15A6D7"/>
    <w:lvl w:ilvl="0" w:tentative="0">
      <w:start w:val="7"/>
      <w:numFmt w:val="decimalFullWidth"/>
      <w:lvlText w:val="%1."/>
      <w:lvlJc w:val="left"/>
      <w:pPr>
        <w:tabs>
          <w:tab w:val="left" w:pos="312"/>
        </w:tabs>
      </w:pPr>
      <w:rPr>
        <w:rFonts w:hint="eastAsia"/>
      </w:rPr>
    </w:lvl>
  </w:abstractNum>
  <w:num w:numId="1">
    <w:abstractNumId w:val="8"/>
  </w:num>
  <w:num w:numId="2">
    <w:abstractNumId w:val="1"/>
  </w:num>
  <w:num w:numId="3">
    <w:abstractNumId w:val="9"/>
  </w:num>
  <w:num w:numId="4">
    <w:abstractNumId w:val="7"/>
  </w:num>
  <w:num w:numId="5">
    <w:abstractNumId w:val="6"/>
  </w:num>
  <w:num w:numId="6">
    <w:abstractNumId w:val="4"/>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E060E"/>
    <w:rsid w:val="008B7BCC"/>
    <w:rsid w:val="009647EC"/>
    <w:rsid w:val="009C7190"/>
    <w:rsid w:val="017310B2"/>
    <w:rsid w:val="01843FB0"/>
    <w:rsid w:val="01E7401B"/>
    <w:rsid w:val="01F16870"/>
    <w:rsid w:val="02070FB8"/>
    <w:rsid w:val="0207230A"/>
    <w:rsid w:val="02235DC0"/>
    <w:rsid w:val="025E6726"/>
    <w:rsid w:val="0262044C"/>
    <w:rsid w:val="02A6407B"/>
    <w:rsid w:val="02CC7170"/>
    <w:rsid w:val="02DD2B05"/>
    <w:rsid w:val="03056306"/>
    <w:rsid w:val="0389488E"/>
    <w:rsid w:val="03A16438"/>
    <w:rsid w:val="03A779D5"/>
    <w:rsid w:val="0469718F"/>
    <w:rsid w:val="04AF0990"/>
    <w:rsid w:val="05C94E84"/>
    <w:rsid w:val="06202CF6"/>
    <w:rsid w:val="06234B7D"/>
    <w:rsid w:val="073E627D"/>
    <w:rsid w:val="08317794"/>
    <w:rsid w:val="08614979"/>
    <w:rsid w:val="087A08A4"/>
    <w:rsid w:val="08831F90"/>
    <w:rsid w:val="08CF1897"/>
    <w:rsid w:val="08DA6F41"/>
    <w:rsid w:val="0943027F"/>
    <w:rsid w:val="09435466"/>
    <w:rsid w:val="09AC4141"/>
    <w:rsid w:val="0A9D5104"/>
    <w:rsid w:val="0B4D1A0D"/>
    <w:rsid w:val="0B967F2D"/>
    <w:rsid w:val="0C772FB0"/>
    <w:rsid w:val="0C931184"/>
    <w:rsid w:val="0CF0293A"/>
    <w:rsid w:val="0CF35615"/>
    <w:rsid w:val="0D6C04D9"/>
    <w:rsid w:val="0D8661FC"/>
    <w:rsid w:val="0EAA36AD"/>
    <w:rsid w:val="0EB86087"/>
    <w:rsid w:val="0ED24896"/>
    <w:rsid w:val="0EF25F91"/>
    <w:rsid w:val="0F0570A4"/>
    <w:rsid w:val="0F19152B"/>
    <w:rsid w:val="0F20646E"/>
    <w:rsid w:val="0F7C63C0"/>
    <w:rsid w:val="0F9D7781"/>
    <w:rsid w:val="0FC56AFD"/>
    <w:rsid w:val="125D4471"/>
    <w:rsid w:val="126C774E"/>
    <w:rsid w:val="126F5113"/>
    <w:rsid w:val="12930111"/>
    <w:rsid w:val="12DE08FD"/>
    <w:rsid w:val="13427200"/>
    <w:rsid w:val="13C2006D"/>
    <w:rsid w:val="140A7F32"/>
    <w:rsid w:val="14FA1259"/>
    <w:rsid w:val="1508331F"/>
    <w:rsid w:val="15E657CE"/>
    <w:rsid w:val="17080AEF"/>
    <w:rsid w:val="173B5665"/>
    <w:rsid w:val="17426B88"/>
    <w:rsid w:val="17812115"/>
    <w:rsid w:val="17A402B4"/>
    <w:rsid w:val="17E33072"/>
    <w:rsid w:val="17FE6E87"/>
    <w:rsid w:val="186C067A"/>
    <w:rsid w:val="18FB19A5"/>
    <w:rsid w:val="1B2778A9"/>
    <w:rsid w:val="1B2D4358"/>
    <w:rsid w:val="1B442719"/>
    <w:rsid w:val="1B8C0A96"/>
    <w:rsid w:val="1C195FA6"/>
    <w:rsid w:val="1C1D1530"/>
    <w:rsid w:val="1C3C7543"/>
    <w:rsid w:val="1C517F7A"/>
    <w:rsid w:val="1EB70037"/>
    <w:rsid w:val="1EFF7276"/>
    <w:rsid w:val="1F010067"/>
    <w:rsid w:val="1F2B311C"/>
    <w:rsid w:val="1F9C1511"/>
    <w:rsid w:val="202E1B18"/>
    <w:rsid w:val="20AA31F8"/>
    <w:rsid w:val="213D6CF2"/>
    <w:rsid w:val="218447AD"/>
    <w:rsid w:val="219B0701"/>
    <w:rsid w:val="22346954"/>
    <w:rsid w:val="228854D0"/>
    <w:rsid w:val="22E8654E"/>
    <w:rsid w:val="24136A5C"/>
    <w:rsid w:val="2472515E"/>
    <w:rsid w:val="249B0E3D"/>
    <w:rsid w:val="25286F43"/>
    <w:rsid w:val="253F26B7"/>
    <w:rsid w:val="25641F3E"/>
    <w:rsid w:val="25D3450E"/>
    <w:rsid w:val="261B6D7A"/>
    <w:rsid w:val="26575B04"/>
    <w:rsid w:val="266B2097"/>
    <w:rsid w:val="269B010B"/>
    <w:rsid w:val="26C868FE"/>
    <w:rsid w:val="26F10185"/>
    <w:rsid w:val="270438D1"/>
    <w:rsid w:val="278177DE"/>
    <w:rsid w:val="27DA46A4"/>
    <w:rsid w:val="27FF2290"/>
    <w:rsid w:val="28110B3A"/>
    <w:rsid w:val="28171009"/>
    <w:rsid w:val="283F203C"/>
    <w:rsid w:val="284413B7"/>
    <w:rsid w:val="289F4747"/>
    <w:rsid w:val="28B84ED1"/>
    <w:rsid w:val="28E15A91"/>
    <w:rsid w:val="28E65663"/>
    <w:rsid w:val="29604502"/>
    <w:rsid w:val="29B0044C"/>
    <w:rsid w:val="29B07948"/>
    <w:rsid w:val="29FB5583"/>
    <w:rsid w:val="2A3F7DA3"/>
    <w:rsid w:val="2A54047D"/>
    <w:rsid w:val="2BE56839"/>
    <w:rsid w:val="2C0C02FE"/>
    <w:rsid w:val="2C6C7480"/>
    <w:rsid w:val="2C9071C9"/>
    <w:rsid w:val="2E9F44BF"/>
    <w:rsid w:val="2EE8524F"/>
    <w:rsid w:val="2EF43309"/>
    <w:rsid w:val="2F7724AC"/>
    <w:rsid w:val="2FA503D8"/>
    <w:rsid w:val="30DD1FD1"/>
    <w:rsid w:val="31A0538B"/>
    <w:rsid w:val="32D876CF"/>
    <w:rsid w:val="330B31E2"/>
    <w:rsid w:val="33262802"/>
    <w:rsid w:val="3341323F"/>
    <w:rsid w:val="351B5E12"/>
    <w:rsid w:val="351D720F"/>
    <w:rsid w:val="35B14F87"/>
    <w:rsid w:val="36470930"/>
    <w:rsid w:val="367C6812"/>
    <w:rsid w:val="37B13AAB"/>
    <w:rsid w:val="38197FD3"/>
    <w:rsid w:val="386961FB"/>
    <w:rsid w:val="3A072A1D"/>
    <w:rsid w:val="3A231581"/>
    <w:rsid w:val="3B4A26EA"/>
    <w:rsid w:val="3B7750FD"/>
    <w:rsid w:val="3B9805BA"/>
    <w:rsid w:val="3BA930A0"/>
    <w:rsid w:val="3C75575A"/>
    <w:rsid w:val="3D2853B6"/>
    <w:rsid w:val="3D590F29"/>
    <w:rsid w:val="3DDE26CD"/>
    <w:rsid w:val="3DEB310A"/>
    <w:rsid w:val="3E052FF9"/>
    <w:rsid w:val="3E245B0B"/>
    <w:rsid w:val="3E32095A"/>
    <w:rsid w:val="3E517AA6"/>
    <w:rsid w:val="3EBE0333"/>
    <w:rsid w:val="3F53538A"/>
    <w:rsid w:val="3FF72B9A"/>
    <w:rsid w:val="4009742A"/>
    <w:rsid w:val="40440CC3"/>
    <w:rsid w:val="404B31B5"/>
    <w:rsid w:val="40B75EEB"/>
    <w:rsid w:val="40E708F8"/>
    <w:rsid w:val="418E060E"/>
    <w:rsid w:val="42016652"/>
    <w:rsid w:val="421473FF"/>
    <w:rsid w:val="42170E07"/>
    <w:rsid w:val="424177CB"/>
    <w:rsid w:val="424D13B9"/>
    <w:rsid w:val="428C09E9"/>
    <w:rsid w:val="42D97B5E"/>
    <w:rsid w:val="4406250F"/>
    <w:rsid w:val="444B780D"/>
    <w:rsid w:val="44E95F0E"/>
    <w:rsid w:val="44FB1030"/>
    <w:rsid w:val="4571372C"/>
    <w:rsid w:val="45953B1E"/>
    <w:rsid w:val="45BA029B"/>
    <w:rsid w:val="45D0425C"/>
    <w:rsid w:val="45E25746"/>
    <w:rsid w:val="471B0745"/>
    <w:rsid w:val="47345DED"/>
    <w:rsid w:val="48333EE5"/>
    <w:rsid w:val="485F0D9A"/>
    <w:rsid w:val="48765E23"/>
    <w:rsid w:val="49175746"/>
    <w:rsid w:val="494C7CF4"/>
    <w:rsid w:val="497369B2"/>
    <w:rsid w:val="498646FF"/>
    <w:rsid w:val="49A538F3"/>
    <w:rsid w:val="4A0072BC"/>
    <w:rsid w:val="4ADC4E79"/>
    <w:rsid w:val="4BE674F8"/>
    <w:rsid w:val="4C1A1CA9"/>
    <w:rsid w:val="4C700A89"/>
    <w:rsid w:val="4C853256"/>
    <w:rsid w:val="4CCA75A3"/>
    <w:rsid w:val="4CF10E61"/>
    <w:rsid w:val="4D3230D0"/>
    <w:rsid w:val="4D423755"/>
    <w:rsid w:val="4D4C3D47"/>
    <w:rsid w:val="4D5279E9"/>
    <w:rsid w:val="4DA34AA5"/>
    <w:rsid w:val="4E2B0148"/>
    <w:rsid w:val="4E60175C"/>
    <w:rsid w:val="4EE4203C"/>
    <w:rsid w:val="4F093FF4"/>
    <w:rsid w:val="4FC01E3B"/>
    <w:rsid w:val="4FC04CA9"/>
    <w:rsid w:val="51484EDF"/>
    <w:rsid w:val="51E1072F"/>
    <w:rsid w:val="51F342D7"/>
    <w:rsid w:val="5340433E"/>
    <w:rsid w:val="538D31E7"/>
    <w:rsid w:val="53CA269F"/>
    <w:rsid w:val="553F13A2"/>
    <w:rsid w:val="55B048AA"/>
    <w:rsid w:val="560A6B3E"/>
    <w:rsid w:val="560C5F36"/>
    <w:rsid w:val="567F6970"/>
    <w:rsid w:val="56C13D47"/>
    <w:rsid w:val="56CF6EA2"/>
    <w:rsid w:val="57891D5E"/>
    <w:rsid w:val="57927D0A"/>
    <w:rsid w:val="57C46A1C"/>
    <w:rsid w:val="57D82342"/>
    <w:rsid w:val="580C6A71"/>
    <w:rsid w:val="58711748"/>
    <w:rsid w:val="587742C0"/>
    <w:rsid w:val="58ED0207"/>
    <w:rsid w:val="59030B29"/>
    <w:rsid w:val="59E03A1C"/>
    <w:rsid w:val="5A1B7E5B"/>
    <w:rsid w:val="5A5D16EA"/>
    <w:rsid w:val="5AA71661"/>
    <w:rsid w:val="5AA8018C"/>
    <w:rsid w:val="5AAF20E5"/>
    <w:rsid w:val="5B7356A1"/>
    <w:rsid w:val="5BD668B8"/>
    <w:rsid w:val="5C5A4C0E"/>
    <w:rsid w:val="5C5C2484"/>
    <w:rsid w:val="5CBF2225"/>
    <w:rsid w:val="5CC4286A"/>
    <w:rsid w:val="5DD1415D"/>
    <w:rsid w:val="5DDC0347"/>
    <w:rsid w:val="5DF277EF"/>
    <w:rsid w:val="5E29455E"/>
    <w:rsid w:val="5EA45014"/>
    <w:rsid w:val="5EE80945"/>
    <w:rsid w:val="5F2525E0"/>
    <w:rsid w:val="5F7F3E73"/>
    <w:rsid w:val="5F997CAE"/>
    <w:rsid w:val="608624D2"/>
    <w:rsid w:val="60A465CE"/>
    <w:rsid w:val="60AE4B97"/>
    <w:rsid w:val="60CA2B77"/>
    <w:rsid w:val="60DA12FA"/>
    <w:rsid w:val="617C6A43"/>
    <w:rsid w:val="62216363"/>
    <w:rsid w:val="622225DE"/>
    <w:rsid w:val="629E5B78"/>
    <w:rsid w:val="62AF576D"/>
    <w:rsid w:val="62D77666"/>
    <w:rsid w:val="63BE1CCC"/>
    <w:rsid w:val="63BE5209"/>
    <w:rsid w:val="63CA46C1"/>
    <w:rsid w:val="64312E6C"/>
    <w:rsid w:val="6464051F"/>
    <w:rsid w:val="646456B9"/>
    <w:rsid w:val="657165C7"/>
    <w:rsid w:val="65E20A58"/>
    <w:rsid w:val="66932AC9"/>
    <w:rsid w:val="66DE41BA"/>
    <w:rsid w:val="66E46A04"/>
    <w:rsid w:val="66F27D7E"/>
    <w:rsid w:val="67C52F51"/>
    <w:rsid w:val="67EE0D93"/>
    <w:rsid w:val="68994BE1"/>
    <w:rsid w:val="68DE5CB4"/>
    <w:rsid w:val="694649DE"/>
    <w:rsid w:val="69485F4D"/>
    <w:rsid w:val="69872903"/>
    <w:rsid w:val="69B038C7"/>
    <w:rsid w:val="69EC541D"/>
    <w:rsid w:val="6A895FC4"/>
    <w:rsid w:val="6AAC003E"/>
    <w:rsid w:val="6AB40A44"/>
    <w:rsid w:val="6ABE3129"/>
    <w:rsid w:val="6AD72FC9"/>
    <w:rsid w:val="6AE5751B"/>
    <w:rsid w:val="6B554744"/>
    <w:rsid w:val="6B8B02C0"/>
    <w:rsid w:val="6BE01322"/>
    <w:rsid w:val="6C0A29E0"/>
    <w:rsid w:val="6C0A6DBE"/>
    <w:rsid w:val="6C555C03"/>
    <w:rsid w:val="6C5A4EE5"/>
    <w:rsid w:val="6CC65AA4"/>
    <w:rsid w:val="6D507DE4"/>
    <w:rsid w:val="6D892BE5"/>
    <w:rsid w:val="6DB811BB"/>
    <w:rsid w:val="6DE56358"/>
    <w:rsid w:val="6E0E64FF"/>
    <w:rsid w:val="6ECF333E"/>
    <w:rsid w:val="6ED47538"/>
    <w:rsid w:val="6F0B16A9"/>
    <w:rsid w:val="6F21240E"/>
    <w:rsid w:val="6F30625A"/>
    <w:rsid w:val="6F3D7D88"/>
    <w:rsid w:val="6F592E0C"/>
    <w:rsid w:val="6F6853F4"/>
    <w:rsid w:val="6F8645B6"/>
    <w:rsid w:val="703861F0"/>
    <w:rsid w:val="707D7909"/>
    <w:rsid w:val="70D10DF8"/>
    <w:rsid w:val="71A74C2D"/>
    <w:rsid w:val="71F779B5"/>
    <w:rsid w:val="7211022B"/>
    <w:rsid w:val="7218508E"/>
    <w:rsid w:val="72200D78"/>
    <w:rsid w:val="722D67DC"/>
    <w:rsid w:val="72612644"/>
    <w:rsid w:val="72A14E76"/>
    <w:rsid w:val="7307359F"/>
    <w:rsid w:val="73594A48"/>
    <w:rsid w:val="7413574F"/>
    <w:rsid w:val="747123D9"/>
    <w:rsid w:val="750E7F7D"/>
    <w:rsid w:val="7548004C"/>
    <w:rsid w:val="759F014A"/>
    <w:rsid w:val="76077C4A"/>
    <w:rsid w:val="7625314E"/>
    <w:rsid w:val="76812F4C"/>
    <w:rsid w:val="76850657"/>
    <w:rsid w:val="76875E3B"/>
    <w:rsid w:val="770B616A"/>
    <w:rsid w:val="77153131"/>
    <w:rsid w:val="77290AF5"/>
    <w:rsid w:val="77A81B3B"/>
    <w:rsid w:val="784B5E5D"/>
    <w:rsid w:val="78AD679E"/>
    <w:rsid w:val="78FF21D9"/>
    <w:rsid w:val="792F162A"/>
    <w:rsid w:val="79384ADC"/>
    <w:rsid w:val="79DD0D7D"/>
    <w:rsid w:val="7A9F787D"/>
    <w:rsid w:val="7C052197"/>
    <w:rsid w:val="7C244256"/>
    <w:rsid w:val="7C285B3F"/>
    <w:rsid w:val="7C635390"/>
    <w:rsid w:val="7C8A772A"/>
    <w:rsid w:val="7CC7396A"/>
    <w:rsid w:val="7CDE69CB"/>
    <w:rsid w:val="7D227A62"/>
    <w:rsid w:val="7E922BC0"/>
    <w:rsid w:val="7EB60800"/>
    <w:rsid w:val="7F2B0D59"/>
    <w:rsid w:val="7F2D3510"/>
    <w:rsid w:val="7F792005"/>
    <w:rsid w:val="7F8D431A"/>
    <w:rsid w:val="7FD8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kern w:val="2"/>
      <w:sz w:val="24"/>
      <w:szCs w:val="24"/>
      <w:lang w:val="en-US" w:eastAsia="zh-CN" w:bidi="ar-SA"/>
    </w:rPr>
  </w:style>
  <w:style w:type="paragraph" w:styleId="3">
    <w:name w:val="heading 1"/>
    <w:basedOn w:val="1"/>
    <w:next w:val="1"/>
    <w:qFormat/>
    <w:uiPriority w:val="9"/>
    <w:pPr>
      <w:keepNext/>
      <w:keepLines/>
      <w:widowControl w:val="0"/>
      <w:spacing w:before="100" w:beforeLines="100" w:after="100" w:afterLines="100" w:line="360" w:lineRule="auto"/>
      <w:ind w:firstLine="200" w:firstLineChars="200"/>
      <w:jc w:val="center"/>
      <w:outlineLvl w:val="0"/>
    </w:pPr>
    <w:rPr>
      <w:rFonts w:eastAsia="黑体" w:cstheme="minorBidi"/>
      <w:b/>
      <w:bCs/>
      <w:kern w:val="44"/>
      <w:sz w:val="36"/>
      <w:szCs w:val="44"/>
    </w:rPr>
  </w:style>
  <w:style w:type="paragraph" w:styleId="4">
    <w:name w:val="heading 2"/>
    <w:basedOn w:val="1"/>
    <w:next w:val="1"/>
    <w:unhideWhenUsed/>
    <w:qFormat/>
    <w:uiPriority w:val="9"/>
    <w:pPr>
      <w:keepNext/>
      <w:keepLines/>
      <w:widowControl w:val="0"/>
      <w:spacing w:line="360" w:lineRule="auto"/>
      <w:jc w:val="center"/>
      <w:outlineLvl w:val="1"/>
    </w:pPr>
    <w:rPr>
      <w:rFonts w:eastAsia="仿宋_GB2312" w:asciiTheme="majorHAnsi" w:hAnsiTheme="majorHAnsi" w:cstheme="majorBidi"/>
      <w:b/>
      <w:bCs/>
      <w:sz w:val="32"/>
      <w:szCs w:val="32"/>
    </w:rPr>
  </w:style>
  <w:style w:type="paragraph" w:styleId="5">
    <w:name w:val="heading 3"/>
    <w:basedOn w:val="1"/>
    <w:next w:val="1"/>
    <w:unhideWhenUsed/>
    <w:qFormat/>
    <w:uiPriority w:val="9"/>
    <w:pPr>
      <w:keepNext/>
      <w:keepLines/>
      <w:widowControl w:val="0"/>
      <w:spacing w:line="360" w:lineRule="auto"/>
      <w:ind w:firstLine="200" w:firstLineChars="200"/>
      <w:jc w:val="both"/>
      <w:outlineLvl w:val="2"/>
    </w:pPr>
    <w:rPr>
      <w:rFonts w:eastAsia="仿宋_GB2312" w:cstheme="minorBidi"/>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kern w:val="2"/>
      <w:sz w:val="24"/>
      <w:szCs w:val="22"/>
      <w:lang w:val="en-US" w:eastAsia="zh-CN" w:bidi="ar-SA"/>
    </w:rPr>
  </w:style>
  <w:style w:type="paragraph" w:styleId="6">
    <w:name w:val="index 8"/>
    <w:basedOn w:val="1"/>
    <w:next w:val="1"/>
    <w:unhideWhenUsed/>
    <w:qFormat/>
    <w:uiPriority w:val="99"/>
    <w:pPr>
      <w:tabs>
        <w:tab w:val="left" w:pos="540"/>
        <w:tab w:val="left" w:pos="900"/>
      </w:tabs>
      <w:jc w:val="center"/>
    </w:pPr>
    <w:rPr>
      <w:rFonts w:ascii="宋体" w:hAnsi="宋体" w:cs="宋体"/>
      <w:color w:val="000000"/>
      <w:kern w:val="0"/>
      <w:sz w:val="32"/>
      <w:szCs w:val="32"/>
    </w:rPr>
  </w:style>
  <w:style w:type="paragraph" w:styleId="7">
    <w:name w:val="Plain Text"/>
    <w:basedOn w:val="1"/>
    <w:qFormat/>
    <w:uiPriority w:val="0"/>
    <w:pPr>
      <w:widowControl w:val="0"/>
      <w:jc w:val="both"/>
    </w:pPr>
    <w:rPr>
      <w:rFonts w:ascii="宋体" w:hAnsi="Courier New" w:eastAsia="Times New Roman" w:cs="Courier New"/>
      <w:sz w:val="21"/>
      <w:szCs w:val="21"/>
    </w:rPr>
  </w:style>
  <w:style w:type="paragraph" w:styleId="8">
    <w:name w:val="footer"/>
    <w:basedOn w:val="1"/>
    <w:unhideWhenUsed/>
    <w:qFormat/>
    <w:uiPriority w:val="99"/>
    <w:pPr>
      <w:widowControl w:val="0"/>
      <w:tabs>
        <w:tab w:val="center" w:pos="4153"/>
        <w:tab w:val="right" w:pos="8306"/>
      </w:tabs>
      <w:snapToGrid w:val="0"/>
      <w:spacing w:line="360" w:lineRule="auto"/>
      <w:ind w:firstLine="200" w:firstLineChars="200"/>
    </w:pPr>
    <w:rPr>
      <w:rFonts w:eastAsia="仿宋_GB2312" w:cstheme="minorBidi"/>
      <w:sz w:val="18"/>
      <w:szCs w:val="18"/>
    </w:rPr>
  </w:style>
  <w:style w:type="paragraph" w:styleId="9">
    <w:name w:val="header"/>
    <w:basedOn w:val="1"/>
    <w:unhideWhenUsed/>
    <w:qFormat/>
    <w:uiPriority w:val="99"/>
    <w:pPr>
      <w:widowControl w:val="0"/>
      <w:pBdr>
        <w:bottom w:val="single" w:color="auto" w:sz="6" w:space="1"/>
      </w:pBdr>
      <w:tabs>
        <w:tab w:val="center" w:pos="4153"/>
        <w:tab w:val="right" w:pos="8306"/>
      </w:tabs>
      <w:snapToGrid w:val="0"/>
      <w:spacing w:line="360" w:lineRule="auto"/>
      <w:ind w:firstLine="200" w:firstLineChars="200"/>
      <w:jc w:val="center"/>
    </w:pPr>
    <w:rPr>
      <w:rFonts w:eastAsia="仿宋_GB2312" w:cstheme="minorBidi"/>
      <w:sz w:val="18"/>
      <w:szCs w:val="18"/>
    </w:rPr>
  </w:style>
  <w:style w:type="paragraph" w:styleId="10">
    <w:name w:val="toc 1"/>
    <w:basedOn w:val="1"/>
    <w:next w:val="1"/>
    <w:unhideWhenUsed/>
    <w:qFormat/>
    <w:uiPriority w:val="39"/>
    <w:pPr>
      <w:widowControl w:val="0"/>
      <w:spacing w:line="360" w:lineRule="auto"/>
      <w:ind w:firstLine="200" w:firstLineChars="200"/>
      <w:jc w:val="both"/>
    </w:pPr>
    <w:rPr>
      <w:rFonts w:eastAsia="仿宋_GB2312" w:cstheme="minorBidi"/>
      <w:sz w:val="32"/>
      <w:szCs w:val="32"/>
    </w:rPr>
  </w:style>
  <w:style w:type="paragraph" w:styleId="11">
    <w:name w:val="toc 2"/>
    <w:basedOn w:val="1"/>
    <w:next w:val="1"/>
    <w:unhideWhenUsed/>
    <w:qFormat/>
    <w:uiPriority w:val="39"/>
    <w:pPr>
      <w:widowControl w:val="0"/>
      <w:spacing w:line="360" w:lineRule="auto"/>
      <w:ind w:left="320" w:firstLine="200" w:firstLineChars="200"/>
      <w:jc w:val="both"/>
    </w:pPr>
    <w:rPr>
      <w:rFonts w:eastAsia="仿宋_GB2312" w:cstheme="minorBidi"/>
      <w:sz w:val="32"/>
      <w:szCs w:val="32"/>
    </w:rPr>
  </w:style>
  <w:style w:type="paragraph" w:styleId="12">
    <w:name w:val="Normal (Web)"/>
    <w:basedOn w:val="1"/>
    <w:unhideWhenUsed/>
    <w:qFormat/>
    <w:uiPriority w:val="0"/>
    <w:pPr>
      <w:widowControl w:val="0"/>
      <w:spacing w:beforeAutospacing="1" w:afterAutospacing="1" w:line="360" w:lineRule="auto"/>
      <w:ind w:firstLine="200" w:firstLineChars="200"/>
    </w:pPr>
    <w:rPr>
      <w:rFonts w:eastAsia="仿宋_GB2312"/>
      <w:szCs w:val="32"/>
    </w:rPr>
  </w:style>
  <w:style w:type="table" w:styleId="14">
    <w:name w:val="Table Grid"/>
    <w:basedOn w:val="13"/>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List Paragraph"/>
    <w:basedOn w:val="1"/>
    <w:qFormat/>
    <w:uiPriority w:val="34"/>
    <w:pPr>
      <w:widowControl w:val="0"/>
      <w:spacing w:line="360" w:lineRule="auto"/>
      <w:ind w:firstLine="420" w:firstLineChars="200"/>
      <w:jc w:val="both"/>
    </w:pPr>
    <w:rPr>
      <w:rFonts w:eastAsia="仿宋_GB2312" w:cstheme="minorBidi"/>
      <w:sz w:val="32"/>
      <w:szCs w:val="32"/>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12540</Words>
  <Characters>12912</Characters>
  <Lines>0</Lines>
  <Paragraphs>0</Paragraphs>
  <TotalTime>20</TotalTime>
  <ScaleCrop>false</ScaleCrop>
  <LinksUpToDate>false</LinksUpToDate>
  <CharactersWithSpaces>13167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2021-02-28T00:18:00Z</dcterms:created>
  <dc:creator>Administrator</dc:creator>
  <cp:lastModifiedBy>WPS_1520849714</cp:lastModifiedBy>
  <cp:lastPrinted>2021-03-01T10:15:00Z</cp:lastPrinted>
  <dcterms:modified xsi:type="dcterms:W3CDTF">2025-12-09T01:58:47Z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337431878_btnclosed</vt:lpwstr>
  </property>
  <property fmtid="{D5CDD505-2E9C-101B-9397-08002B2CF9AE}" pid="4" name="ICV">
    <vt:lpwstr>049E95053EA34970BBEE06456A5ADFFD</vt:lpwstr>
  </property>
  <property fmtid="{D5CDD505-2E9C-101B-9397-08002B2CF9AE}" pid="5" name="KSOTemplateDocerSaveRecord">
    <vt:lpwstr>eyJoZGlkIjoiZTBiODc4NWMxYTM3YzgxYmJmNjI4ZDNjMTJhZmFkNDMiLCJ1c2VySWQiOiIzNTE3NDYyNTIifQ==</vt:lpwstr>
  </property>
</Properties>
</file>