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theme/themeOverride6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扎赉特旗202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年经济和社会发展统计公报</w:t>
      </w:r>
    </w:p>
    <w:p w14:paraId="7E41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0"/>
          <w:szCs w:val="20"/>
          <w:highlight w:val="none"/>
        </w:rPr>
      </w:pPr>
    </w:p>
    <w:p w14:paraId="309F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扎赉特旗统计局</w:t>
      </w:r>
    </w:p>
    <w:p w14:paraId="26B1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202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年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月</w:t>
      </w:r>
    </w:p>
    <w:p w14:paraId="198A502B">
      <w:pPr>
        <w:keepNext w:val="0"/>
        <w:keepLines w:val="0"/>
        <w:widowControl/>
        <w:suppressLineNumbers w:val="0"/>
        <w:jc w:val="left"/>
      </w:pPr>
    </w:p>
    <w:p w14:paraId="131EFC8F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2024年，扎赉特旗坚持以习近平新时代中国特色社会主义思想为指导，紧扣铸牢中华民族共同体意识工作主线，全力办好两件大事、扎实推进六个工程，全年经济运行稳中有进，各项工作取得新进展新成效。</w:t>
      </w:r>
    </w:p>
    <w:p w14:paraId="76EB3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一、综合</w:t>
      </w:r>
    </w:p>
    <w:p w14:paraId="3D73122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初步核算，全年实现地区生产总值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144.63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亿元，按可比价计算，同比增长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%。其中：第一产业增加值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5.1%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；第二产业增加值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下降2.6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%；第三产业增加值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亿元，同比增长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%；三次产业比例为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58:7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0943350B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drawing>
          <wp:inline distT="0" distB="0" distL="114300" distR="114300">
            <wp:extent cx="5570855" cy="2733040"/>
            <wp:effectExtent l="4445" t="4445" r="6350" b="62865"/>
            <wp:docPr id="3" name="图表 1" descr="7b0a202020202263686172745265734964223a2022323034373632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C32CF0A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积极落实就业援助政策，全旗城镇新增就业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1129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人，城镇失业人员再就业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人。（由旗人力资源和社会保障局提供）。</w:t>
      </w:r>
    </w:p>
    <w:p w14:paraId="7B27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二、农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牧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业</w:t>
      </w:r>
    </w:p>
    <w:p w14:paraId="78436BF0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全年粮食作物种植面积367.8千公顷，比上年增加2.6千公顷。粮食总产量247.5万吨，比上年增产10.4万吨，同比增长4.4%，其中：稻谷产量30万吨，增加3.6万吨，同比增长13.5%；玉米产量207.3万吨，增产7万吨，同比增长3.5%；大豆产量9.7万吨，增产0.06万吨，同比增长0.6%。</w:t>
      </w:r>
    </w:p>
    <w:p w14:paraId="37A51277"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drawing>
          <wp:inline distT="0" distB="0" distL="114300" distR="114300">
            <wp:extent cx="5316855" cy="2785110"/>
            <wp:effectExtent l="4445" t="4445" r="12700" b="10795"/>
            <wp:docPr id="4" name="图表 2" descr="7b0a202020202263686172745265734964223a20223230343736333434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7B34A5F"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表1  202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年农产品产量及其增长速度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60"/>
        <w:gridCol w:w="2064"/>
        <w:gridCol w:w="2494"/>
      </w:tblGrid>
      <w:tr w14:paraId="649FAD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</w:tblPrEx>
        <w:trPr>
          <w:trHeight w:val="773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389D1D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指  标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5A48BE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089947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2024年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784D4CA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比上年增长（%）</w:t>
            </w:r>
          </w:p>
        </w:tc>
      </w:tr>
      <w:tr w14:paraId="7B56EF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25F2027E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粮食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18C92A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02D9CE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2475359.98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1355C00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4.4</w:t>
            </w:r>
          </w:p>
        </w:tc>
      </w:tr>
      <w:tr w14:paraId="1F747F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539764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稻谷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351CA63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46D99597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300211.50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5099B60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13.5</w:t>
            </w:r>
          </w:p>
        </w:tc>
      </w:tr>
      <w:tr w14:paraId="5E5212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71C382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玉米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6FDCBA5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482B698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2072771.62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294186E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3.5</w:t>
            </w:r>
          </w:p>
        </w:tc>
      </w:tr>
      <w:tr w14:paraId="46B778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21" w:type="dxa"/>
            <w:tcBorders>
              <w:tl2br w:val="nil"/>
              <w:tr2bl w:val="nil"/>
            </w:tcBorders>
            <w:vAlign w:val="center"/>
          </w:tcPr>
          <w:p w14:paraId="463BAD2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大豆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14:paraId="065E28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吨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vAlign w:val="center"/>
          </w:tcPr>
          <w:p w14:paraId="13E1ADF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97120.02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vAlign w:val="center"/>
          </w:tcPr>
          <w:p w14:paraId="2678B414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4"/>
                <w:szCs w:val="24"/>
                <w:highlight w:val="none"/>
                <w:vertAlign w:val="baseline"/>
                <w:lang w:val="en-US" w:eastAsia="zh-CN"/>
              </w:rPr>
              <w:t>0.6</w:t>
            </w:r>
          </w:p>
        </w:tc>
      </w:tr>
    </w:tbl>
    <w:p w14:paraId="611F5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</w:rPr>
      </w:pPr>
    </w:p>
    <w:p w14:paraId="54389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肉产量10.29万吨，比上年增长6.8%。其中：猪肉产量5.01万吨，增长3.9%；牛肉产量1.63万吨，增长14.6%；羊肉产量3.30万吨，增长8.2%；禽肉产量0.20万吨，增长1%。禽蛋产量0.65万吨，下降11.4%。牛奶产量11.12万吨，增长5.6%。年末猪存栏19.28万头，比上年下降1.3%；牛存栏23.53万头，下降0.7%；羊存栏205.37万只，增长0.7%；家禽存栏68.10万只，下降18.2%。</w:t>
      </w:r>
    </w:p>
    <w:p w14:paraId="08DF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全年水产品产量2650吨，同比增长5.9%（由旗农牧和科技局提供）。</w:t>
      </w:r>
    </w:p>
    <w:p w14:paraId="2F49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旗农牧业机械总动力达到214.5万千瓦，同比增长10.7%。拖拉机保有量达到51007台，其中大中型拖拉机18940台，小型拖拉机32067台。耕整地机械38050台，种植施肥机械52210台，排灌机械41437台（套），田间管理机械5603万台，收获机械13003台。年末机耕地面积194.8万亩；化肥使用量（折纯）10.5万吨，比上年减少9%；农用地膜使用量719.4吨，全生物降解膜99吨（由旗农牧和科技局提供）。</w:t>
      </w:r>
    </w:p>
    <w:p w14:paraId="5255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三、工业和建筑业</w:t>
      </w:r>
    </w:p>
    <w:p w14:paraId="09176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全年全部工业增加值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3.34</w:t>
      </w:r>
      <w:r>
        <w:rPr>
          <w:rFonts w:hint="eastAsia" w:ascii="仿宋" w:hAnsi="仿宋" w:eastAsia="仿宋" w:cs="仿宋"/>
          <w:sz w:val="32"/>
          <w:szCs w:val="32"/>
        </w:rPr>
        <w:t>亿元，比上年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增长0.8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F0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drawing>
          <wp:inline distT="0" distB="0" distL="114300" distR="114300">
            <wp:extent cx="5415915" cy="2901315"/>
            <wp:effectExtent l="4445" t="4445" r="8890" b="46990"/>
            <wp:docPr id="5" name="图表 3" descr="7b0a202020202263686172745265734964223a2022323034373632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2C4B4A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在规模以上工业企业中，分经济类型看：股份制企业增加值同比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增长1.2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%；其他经济类型企业增加值同比下降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%；国有控股企业增加值同比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增长45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%。分门类看，农副产品加工业增加值同比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%；非金属矿物制品业增加值同比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下降14.5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%；电力、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力生产和供应业增加值同比增长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19.7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分轻重工业看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，轻工业增加值同比下降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17.1%，重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工业增加值同比增长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%。规模以上工业营业收入同比下降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增加值同比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增长0.6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p w14:paraId="66332CE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10"/>
        <w:tblpPr w:leftFromText="180" w:rightFromText="180" w:vertAnchor="text" w:horzAnchor="page" w:tblpX="1627" w:tblpY="-32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9"/>
        <w:gridCol w:w="2773"/>
      </w:tblGrid>
      <w:tr w14:paraId="16C157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522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0A70D34D"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highlight w:val="none"/>
                <w:lang w:val="en-US" w:eastAsia="zh-CN"/>
              </w:rPr>
              <w:t>表2  2024年规模以上工业分行业增加值增速</w:t>
            </w:r>
          </w:p>
        </w:tc>
      </w:tr>
      <w:tr w14:paraId="36741C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2AF1CC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指  标</w:t>
            </w:r>
          </w:p>
        </w:tc>
        <w:tc>
          <w:tcPr>
            <w:tcW w:w="27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67240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同比增长（%）</w:t>
            </w:r>
          </w:p>
        </w:tc>
      </w:tr>
      <w:tr w14:paraId="084486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49" w:type="dxa"/>
            <w:tcBorders>
              <w:top w:val="single" w:color="auto" w:sz="4" w:space="0"/>
            </w:tcBorders>
            <w:vAlign w:val="center"/>
          </w:tcPr>
          <w:p w14:paraId="1995ECEC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规模以上工业增加值</w:t>
            </w:r>
          </w:p>
        </w:tc>
        <w:tc>
          <w:tcPr>
            <w:tcW w:w="2773" w:type="dxa"/>
            <w:tcBorders>
              <w:top w:val="single" w:color="auto" w:sz="4" w:space="0"/>
            </w:tcBorders>
            <w:vAlign w:val="center"/>
          </w:tcPr>
          <w:p w14:paraId="04309743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0.6</w:t>
            </w:r>
          </w:p>
        </w:tc>
      </w:tr>
      <w:tr w14:paraId="19B774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56442F03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按行业分：</w:t>
            </w:r>
          </w:p>
        </w:tc>
        <w:tc>
          <w:tcPr>
            <w:tcW w:w="2773" w:type="dxa"/>
            <w:vAlign w:val="center"/>
          </w:tcPr>
          <w:p w14:paraId="57F7B04A">
            <w:pPr>
              <w:bidi w:val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</w:p>
        </w:tc>
      </w:tr>
      <w:tr w14:paraId="3849FD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3ECE4FFA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非金属矿采选业</w:t>
            </w:r>
          </w:p>
        </w:tc>
        <w:tc>
          <w:tcPr>
            <w:tcW w:w="2773" w:type="dxa"/>
            <w:vAlign w:val="center"/>
          </w:tcPr>
          <w:p w14:paraId="2DDB760E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-32.4</w:t>
            </w:r>
          </w:p>
        </w:tc>
      </w:tr>
      <w:tr w14:paraId="64CA72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1C176D2D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其中：土砂石开采</w:t>
            </w:r>
          </w:p>
        </w:tc>
        <w:tc>
          <w:tcPr>
            <w:tcW w:w="2773" w:type="dxa"/>
            <w:vAlign w:val="center"/>
          </w:tcPr>
          <w:p w14:paraId="5BD622ED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-32.4</w:t>
            </w:r>
          </w:p>
        </w:tc>
      </w:tr>
      <w:tr w14:paraId="5AD853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215D834D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农副食品加工业</w:t>
            </w:r>
          </w:p>
        </w:tc>
        <w:tc>
          <w:tcPr>
            <w:tcW w:w="2773" w:type="dxa"/>
            <w:vAlign w:val="center"/>
          </w:tcPr>
          <w:p w14:paraId="536801DB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18.0</w:t>
            </w:r>
          </w:p>
        </w:tc>
      </w:tr>
      <w:tr w14:paraId="3A407E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482EBBD0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其中：谷物磨制</w:t>
            </w:r>
          </w:p>
        </w:tc>
        <w:tc>
          <w:tcPr>
            <w:tcW w:w="2773" w:type="dxa"/>
            <w:vAlign w:val="center"/>
          </w:tcPr>
          <w:p w14:paraId="70D44759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19.3</w:t>
            </w:r>
          </w:p>
        </w:tc>
      </w:tr>
      <w:tr w14:paraId="5F2179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21BD9C85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屠宰及肉类加工</w:t>
            </w:r>
          </w:p>
        </w:tc>
        <w:tc>
          <w:tcPr>
            <w:tcW w:w="2773" w:type="dxa"/>
            <w:vAlign w:val="center"/>
          </w:tcPr>
          <w:p w14:paraId="01DD0B85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-30.0</w:t>
            </w:r>
          </w:p>
        </w:tc>
      </w:tr>
      <w:tr w14:paraId="6BF0C8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78B1FEEF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非金属矿物制品业</w:t>
            </w:r>
          </w:p>
        </w:tc>
        <w:tc>
          <w:tcPr>
            <w:tcW w:w="2773" w:type="dxa"/>
            <w:vAlign w:val="center"/>
          </w:tcPr>
          <w:p w14:paraId="2B7F99B6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-14.5</w:t>
            </w:r>
          </w:p>
        </w:tc>
      </w:tr>
      <w:tr w14:paraId="270567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50BB3480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其中：水泥、石灰和石膏制造</w:t>
            </w:r>
          </w:p>
        </w:tc>
        <w:tc>
          <w:tcPr>
            <w:tcW w:w="2773" w:type="dxa"/>
            <w:vAlign w:val="center"/>
          </w:tcPr>
          <w:p w14:paraId="2E8CA946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-20.2</w:t>
            </w:r>
          </w:p>
        </w:tc>
      </w:tr>
      <w:tr w14:paraId="2A1DCF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5C1364D0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 xml:space="preserve">         石膏、水泥制品及类似制品制造</w:t>
            </w:r>
          </w:p>
        </w:tc>
        <w:tc>
          <w:tcPr>
            <w:tcW w:w="2773" w:type="dxa"/>
            <w:vAlign w:val="center"/>
          </w:tcPr>
          <w:p w14:paraId="2C63E6A2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41.2</w:t>
            </w:r>
          </w:p>
        </w:tc>
      </w:tr>
      <w:tr w14:paraId="4DE05B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35B8C6D4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 xml:space="preserve">     专用设备制造业</w:t>
            </w:r>
          </w:p>
        </w:tc>
        <w:tc>
          <w:tcPr>
            <w:tcW w:w="2773" w:type="dxa"/>
            <w:vAlign w:val="center"/>
          </w:tcPr>
          <w:p w14:paraId="7267F980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67.0</w:t>
            </w:r>
          </w:p>
        </w:tc>
      </w:tr>
      <w:tr w14:paraId="2F022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2FC6222C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 xml:space="preserve">       其中：农、林、牧、渔专用机械制造</w:t>
            </w:r>
          </w:p>
        </w:tc>
        <w:tc>
          <w:tcPr>
            <w:tcW w:w="2773" w:type="dxa"/>
            <w:vAlign w:val="center"/>
          </w:tcPr>
          <w:p w14:paraId="72545F65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67.0</w:t>
            </w:r>
          </w:p>
        </w:tc>
      </w:tr>
      <w:tr w14:paraId="427B7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4AD3E2FC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电力、热力生产和供应业</w:t>
            </w:r>
          </w:p>
        </w:tc>
        <w:tc>
          <w:tcPr>
            <w:tcW w:w="2773" w:type="dxa"/>
            <w:vAlign w:val="center"/>
          </w:tcPr>
          <w:p w14:paraId="36C20FBF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19.9</w:t>
            </w:r>
          </w:p>
        </w:tc>
      </w:tr>
      <w:tr w14:paraId="499A64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749" w:type="dxa"/>
            <w:vAlign w:val="center"/>
          </w:tcPr>
          <w:p w14:paraId="242C9ABD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其中：电力生产</w:t>
            </w:r>
          </w:p>
        </w:tc>
        <w:tc>
          <w:tcPr>
            <w:tcW w:w="2773" w:type="dxa"/>
            <w:vAlign w:val="center"/>
          </w:tcPr>
          <w:p w14:paraId="63C1880B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20.9</w:t>
            </w:r>
          </w:p>
        </w:tc>
      </w:tr>
      <w:tr w14:paraId="529E28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49" w:type="dxa"/>
            <w:vAlign w:val="center"/>
          </w:tcPr>
          <w:p w14:paraId="0310BC6A">
            <w:pPr>
              <w:bidi w:val="0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热力生产和供应</w:t>
            </w:r>
          </w:p>
        </w:tc>
        <w:tc>
          <w:tcPr>
            <w:tcW w:w="2773" w:type="dxa"/>
            <w:vAlign w:val="center"/>
          </w:tcPr>
          <w:p w14:paraId="1511A6C0">
            <w:pPr>
              <w:bidi w:val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13.02</w:t>
            </w:r>
          </w:p>
        </w:tc>
      </w:tr>
    </w:tbl>
    <w:p w14:paraId="4D12EA9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从主要产品产量看，全旗水泥产量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39.44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万吨，同比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下降21.2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%；水泥熟料产量1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00.71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万吨，同比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下降33.3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%；大米产量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万吨，同比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增长17.4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%；石灰石产量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15.58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万吨，同比下降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%；石灰产量6.8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万吨，同比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下降0.5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%；商品混凝土产量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35.99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万立方米，同比增长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%；机械化农业及园艺机具产量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台，同比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下降14.3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%；发电量（上网电量）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53471.19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万千瓦时，同比增长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19.0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%。</w:t>
      </w:r>
    </w:p>
    <w:tbl>
      <w:tblPr>
        <w:tblStyle w:val="9"/>
        <w:tblpPr w:leftFromText="180" w:rightFromText="180" w:vertAnchor="text" w:horzAnchor="page" w:tblpXSpec="center" w:tblpY="816"/>
        <w:tblOverlap w:val="never"/>
        <w:tblW w:w="9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4"/>
        <w:gridCol w:w="1441"/>
        <w:gridCol w:w="1600"/>
        <w:gridCol w:w="2365"/>
      </w:tblGrid>
      <w:tr w14:paraId="0613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5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表3  2024年主要工业产品产量及增速</w:t>
            </w:r>
          </w:p>
        </w:tc>
      </w:tr>
      <w:tr w14:paraId="69A5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8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2024年</w:t>
            </w:r>
          </w:p>
        </w:tc>
        <w:tc>
          <w:tcPr>
            <w:tcW w:w="23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2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同比增长（%）</w:t>
            </w:r>
          </w:p>
        </w:tc>
      </w:tr>
      <w:tr w14:paraId="0B89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F3BD1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09D5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509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D39BD4">
            <w:pP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790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9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大米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51657.17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15.7</w:t>
            </w:r>
          </w:p>
        </w:tc>
      </w:tr>
      <w:tr w14:paraId="2891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立方米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359935.00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30.0</w:t>
            </w:r>
          </w:p>
        </w:tc>
      </w:tr>
      <w:tr w14:paraId="72E4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机械化农业及园艺机具◇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702.00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-14.3</w:t>
            </w:r>
          </w:p>
        </w:tc>
      </w:tr>
      <w:tr w14:paraId="670EC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2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◇种植施肥机械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702.00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-14.3</w:t>
            </w:r>
          </w:p>
        </w:tc>
      </w:tr>
      <w:tr w14:paraId="445C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9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石灰石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155827.54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-35.0</w:t>
            </w:r>
          </w:p>
        </w:tc>
      </w:tr>
      <w:tr w14:paraId="0B4B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石灰◇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68374.04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-0.5</w:t>
            </w:r>
          </w:p>
        </w:tc>
      </w:tr>
      <w:tr w14:paraId="19DF5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0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其中：◇生石灰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9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68374.04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E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-0.5</w:t>
            </w:r>
          </w:p>
        </w:tc>
      </w:tr>
      <w:tr w14:paraId="00B8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0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硅酸盐水泥熟料◇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1007125.19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4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-33.3</w:t>
            </w:r>
          </w:p>
        </w:tc>
      </w:tr>
      <w:tr w14:paraId="4419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其中：◇窑外分解窑水泥熟料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1007125.19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-33.3</w:t>
            </w:r>
          </w:p>
        </w:tc>
      </w:tr>
      <w:tr w14:paraId="0836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水泥◇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394409.19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-21.2</w:t>
            </w:r>
          </w:p>
        </w:tc>
      </w:tr>
      <w:tr w14:paraId="72B82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A7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其中：◇强度等级42.5水泥</w:t>
            </w:r>
          </w:p>
          <w:p w14:paraId="3CA9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（含R型）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323812.99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-16.8</w:t>
            </w:r>
          </w:p>
        </w:tc>
      </w:tr>
      <w:tr w14:paraId="3083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鲜、冷藏肉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108.93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-82.4</w:t>
            </w:r>
          </w:p>
        </w:tc>
      </w:tr>
      <w:tr w14:paraId="677D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F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发电量（上网电量）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53471.19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19.0</w:t>
            </w:r>
          </w:p>
        </w:tc>
      </w:tr>
      <w:tr w14:paraId="04334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9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其中：太阳能发电量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16606.37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-0.6</w:t>
            </w:r>
          </w:p>
        </w:tc>
      </w:tr>
      <w:tr w14:paraId="26E3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E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风力发电量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12223.46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-3.4</w:t>
            </w:r>
          </w:p>
        </w:tc>
      </w:tr>
      <w:tr w14:paraId="688B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91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ED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火力发电量</w:t>
            </w:r>
          </w:p>
        </w:tc>
        <w:tc>
          <w:tcPr>
            <w:tcW w:w="144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万千瓦时</w:t>
            </w:r>
          </w:p>
        </w:tc>
        <w:tc>
          <w:tcPr>
            <w:tcW w:w="1600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12060.5</w:t>
            </w: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BE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-22.5</w:t>
            </w:r>
          </w:p>
        </w:tc>
      </w:tr>
    </w:tbl>
    <w:p w14:paraId="5DCA0003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8FAD35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全年建筑业增加值6.7亿元，比上年下降3.8%。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全旗具有建筑业资质等级的建筑业施工企业3家。全年房屋建筑施工面积22.5万平方米，比上年下降21.2%；房屋竣工面积177552平方米，同比增长34.6%，房屋建筑竣工率78.9%。</w:t>
      </w:r>
    </w:p>
    <w:p w14:paraId="6ED5C84E">
      <w:pPr>
        <w:keepNext w:val="0"/>
        <w:keepLines w:val="0"/>
        <w:pageBreakBefore w:val="0"/>
        <w:widowControl w:val="0"/>
        <w:tabs>
          <w:tab w:val="center" w:pos="4482"/>
          <w:tab w:val="left" w:pos="50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cs="仿宋_GB2312" w:eastAsiaTheme="minorEastAsia"/>
          <w:sz w:val="32"/>
          <w:szCs w:val="32"/>
          <w:highlight w:val="yellow"/>
          <w:lang w:eastAsia="zh-CN"/>
        </w:rPr>
      </w:pP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5449570" cy="3225800"/>
            <wp:effectExtent l="4445" t="4445" r="13335" b="65405"/>
            <wp:docPr id="7" name="图表 6" descr="7b0a202020202263686172745265734964223a2022323034373632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 w14:paraId="4668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</w:p>
    <w:p w14:paraId="1524C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、服务业</w:t>
      </w:r>
    </w:p>
    <w:p w14:paraId="41066C3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服务业增加值50.55亿元，比上年增长1.3%。其中，批发和零售业增加值4.88亿元，增长4.1%；交通运输业增加值3.34亿元，同比增长4.8%；住宿和餐饮业增加值1.77亿元，增长3.3%；金融业增加值4.57亿元，增长1.1%；房地产业增加值5.72亿元，增长6.6%。</w:t>
      </w:r>
    </w:p>
    <w:p w14:paraId="14782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" w:firstLineChars="200"/>
        <w:textAlignment w:val="auto"/>
        <w:rPr>
          <w:rFonts w:hint="eastAsia" w:ascii="仿宋" w:hAnsi="仿宋" w:eastAsia="仿宋" w:cs="仿宋"/>
          <w:sz w:val="2"/>
          <w:szCs w:val="2"/>
          <w:highlight w:val="none"/>
        </w:rPr>
      </w:pPr>
      <w:r>
        <w:rPr>
          <w:sz w:val="2"/>
          <w:szCs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94615</wp:posOffset>
            </wp:positionV>
            <wp:extent cx="5624830" cy="2882900"/>
            <wp:effectExtent l="4445" t="4445" r="9525" b="65405"/>
            <wp:wrapSquare wrapText="bothSides"/>
            <wp:docPr id="12" name="图表 11" descr="7b0a202020202263686172745265734964223a2022323034373632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469E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年末全旗公路通车里程3093.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公里；其中：等级公路里程3065.9公里，高速公路119.2公里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由旗交通运输局提供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</w:p>
    <w:p w14:paraId="1C97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、贸易</w:t>
      </w:r>
    </w:p>
    <w:p w14:paraId="1BF53C1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全年社会消费品零售总额20.94亿元，同比增长3.6%。分城乡看，城镇社会消费品零售额同比增长3.6%；乡村社会消费品零售额同比增长3.5%。按消费形态看，商品零售额同比增长5.0%；餐饮收入额同比增长2.7%。</w:t>
      </w:r>
    </w:p>
    <w:p w14:paraId="1A19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drawing>
          <wp:inline distT="0" distB="0" distL="114300" distR="114300">
            <wp:extent cx="5550535" cy="2758440"/>
            <wp:effectExtent l="4445" t="4445" r="7620" b="56515"/>
            <wp:docPr id="6" name="图表 5" descr="7b0a202020202263686172745265734964223a202232303437343530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737E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、固定资产投资</w:t>
      </w:r>
    </w:p>
    <w:p w14:paraId="4465C20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500万元以上固定资产投资总额同比增长30.9%。从投资主体看，国有投资同比增长61.4%，城镇投资同比增长30.9%。从三次产业投资看，第一产业投资同比增长211.6%；第二产业投资同比增长66.4%；第三产业投资同比下降21.4%。</w:t>
      </w:r>
    </w:p>
    <w:p w14:paraId="3848D29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全年新开工项目58个，完成投资额占全部投资的72.7%；续建项目70个，完成投资额占全部投资的18.3%。</w:t>
      </w:r>
    </w:p>
    <w:p w14:paraId="7FB82471"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p w14:paraId="4026D59E"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  <w:t>表4   2024年分行业500万元以上固定资产投资增长速度</w:t>
      </w:r>
    </w:p>
    <w:tbl>
      <w:tblPr>
        <w:tblStyle w:val="10"/>
        <w:tblW w:w="8907" w:type="dxa"/>
        <w:tblInd w:w="-91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1443"/>
        <w:gridCol w:w="3038"/>
        <w:gridCol w:w="1426"/>
      </w:tblGrid>
      <w:tr w14:paraId="6FEF5E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 w14:paraId="789FE86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  业</w:t>
            </w:r>
          </w:p>
        </w:tc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 w14:paraId="450FAD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同比增长（%）</w:t>
            </w:r>
          </w:p>
        </w:tc>
        <w:tc>
          <w:tcPr>
            <w:tcW w:w="3038" w:type="dxa"/>
            <w:tcBorders>
              <w:bottom w:val="single" w:color="auto" w:sz="4" w:space="0"/>
            </w:tcBorders>
            <w:vAlign w:val="center"/>
          </w:tcPr>
          <w:p w14:paraId="25B7FC6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  业</w:t>
            </w:r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3DB94F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同比增长（%）</w:t>
            </w:r>
          </w:p>
        </w:tc>
      </w:tr>
      <w:tr w14:paraId="29E801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000" w:type="dxa"/>
            <w:tcBorders>
              <w:top w:val="single" w:color="auto" w:sz="4" w:space="0"/>
            </w:tcBorders>
            <w:vAlign w:val="center"/>
          </w:tcPr>
          <w:p w14:paraId="736F31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443" w:type="dxa"/>
            <w:tcBorders>
              <w:top w:val="single" w:color="auto" w:sz="4" w:space="0"/>
            </w:tcBorders>
            <w:vAlign w:val="center"/>
          </w:tcPr>
          <w:p w14:paraId="6C9D8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30.9</w:t>
            </w:r>
          </w:p>
        </w:tc>
        <w:tc>
          <w:tcPr>
            <w:tcW w:w="3038" w:type="dxa"/>
            <w:tcBorders>
              <w:top w:val="single" w:color="auto" w:sz="4" w:space="0"/>
            </w:tcBorders>
            <w:vAlign w:val="center"/>
          </w:tcPr>
          <w:p w14:paraId="40EBDD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金融业</w:t>
            </w:r>
          </w:p>
        </w:tc>
        <w:tc>
          <w:tcPr>
            <w:tcW w:w="1426" w:type="dxa"/>
            <w:tcBorders>
              <w:top w:val="single" w:color="auto" w:sz="4" w:space="0"/>
            </w:tcBorders>
            <w:vAlign w:val="center"/>
          </w:tcPr>
          <w:p w14:paraId="63630A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B4EBB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00" w:type="dxa"/>
            <w:vAlign w:val="center"/>
          </w:tcPr>
          <w:p w14:paraId="72D33B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农、林、牧、渔业</w:t>
            </w:r>
          </w:p>
        </w:tc>
        <w:tc>
          <w:tcPr>
            <w:tcW w:w="1443" w:type="dxa"/>
            <w:vAlign w:val="center"/>
          </w:tcPr>
          <w:p w14:paraId="316D8A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56.9</w:t>
            </w:r>
          </w:p>
        </w:tc>
        <w:tc>
          <w:tcPr>
            <w:tcW w:w="3038" w:type="dxa"/>
            <w:vAlign w:val="center"/>
          </w:tcPr>
          <w:p w14:paraId="615F68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房地产业</w:t>
            </w:r>
          </w:p>
        </w:tc>
        <w:tc>
          <w:tcPr>
            <w:tcW w:w="1426" w:type="dxa"/>
            <w:vAlign w:val="center"/>
          </w:tcPr>
          <w:p w14:paraId="0D1C8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218.7</w:t>
            </w:r>
          </w:p>
        </w:tc>
      </w:tr>
      <w:tr w14:paraId="0D6B49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00" w:type="dxa"/>
            <w:vAlign w:val="center"/>
          </w:tcPr>
          <w:p w14:paraId="4AFFAE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采矿业</w:t>
            </w:r>
          </w:p>
        </w:tc>
        <w:tc>
          <w:tcPr>
            <w:tcW w:w="1443" w:type="dxa"/>
            <w:vAlign w:val="center"/>
          </w:tcPr>
          <w:p w14:paraId="22AF48D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038" w:type="dxa"/>
            <w:vAlign w:val="center"/>
          </w:tcPr>
          <w:p w14:paraId="5CE1B7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租赁和商务服务业</w:t>
            </w:r>
          </w:p>
        </w:tc>
        <w:tc>
          <w:tcPr>
            <w:tcW w:w="1426" w:type="dxa"/>
            <w:vAlign w:val="center"/>
          </w:tcPr>
          <w:p w14:paraId="5C3B8A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63605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00" w:type="dxa"/>
            <w:vAlign w:val="center"/>
          </w:tcPr>
          <w:p w14:paraId="0D9B563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制造业</w:t>
            </w:r>
          </w:p>
        </w:tc>
        <w:tc>
          <w:tcPr>
            <w:tcW w:w="1443" w:type="dxa"/>
            <w:vAlign w:val="center"/>
          </w:tcPr>
          <w:p w14:paraId="0E5A59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-4.1</w:t>
            </w:r>
          </w:p>
        </w:tc>
        <w:tc>
          <w:tcPr>
            <w:tcW w:w="3038" w:type="dxa"/>
            <w:vAlign w:val="center"/>
          </w:tcPr>
          <w:p w14:paraId="131D65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科学研究和技术服务业</w:t>
            </w:r>
          </w:p>
        </w:tc>
        <w:tc>
          <w:tcPr>
            <w:tcW w:w="1426" w:type="dxa"/>
            <w:vAlign w:val="center"/>
          </w:tcPr>
          <w:p w14:paraId="3E3000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56208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000" w:type="dxa"/>
            <w:vAlign w:val="center"/>
          </w:tcPr>
          <w:p w14:paraId="17B428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电力、热力、燃气</w:t>
            </w:r>
          </w:p>
          <w:p w14:paraId="198E107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及水生产和供应业</w:t>
            </w:r>
          </w:p>
        </w:tc>
        <w:tc>
          <w:tcPr>
            <w:tcW w:w="1443" w:type="dxa"/>
            <w:vAlign w:val="center"/>
          </w:tcPr>
          <w:p w14:paraId="6ABE10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20.0</w:t>
            </w:r>
          </w:p>
        </w:tc>
        <w:tc>
          <w:tcPr>
            <w:tcW w:w="3038" w:type="dxa"/>
            <w:vAlign w:val="center"/>
          </w:tcPr>
          <w:p w14:paraId="186279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水利、环境和</w:t>
            </w:r>
          </w:p>
          <w:p w14:paraId="78218C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公共设施管理业</w:t>
            </w:r>
          </w:p>
        </w:tc>
        <w:tc>
          <w:tcPr>
            <w:tcW w:w="1426" w:type="dxa"/>
            <w:vAlign w:val="center"/>
          </w:tcPr>
          <w:p w14:paraId="545E6E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-68.1</w:t>
            </w:r>
          </w:p>
        </w:tc>
      </w:tr>
      <w:tr w14:paraId="554C66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000" w:type="dxa"/>
            <w:vAlign w:val="center"/>
          </w:tcPr>
          <w:p w14:paraId="26C8B7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建筑业</w:t>
            </w:r>
          </w:p>
        </w:tc>
        <w:tc>
          <w:tcPr>
            <w:tcW w:w="1443" w:type="dxa"/>
            <w:vAlign w:val="center"/>
          </w:tcPr>
          <w:p w14:paraId="5B77177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038" w:type="dxa"/>
            <w:vAlign w:val="center"/>
          </w:tcPr>
          <w:p w14:paraId="261016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居民服务、修理</w:t>
            </w:r>
          </w:p>
          <w:p w14:paraId="3EF09A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和其他服务业</w:t>
            </w:r>
          </w:p>
        </w:tc>
        <w:tc>
          <w:tcPr>
            <w:tcW w:w="1426" w:type="dxa"/>
            <w:vAlign w:val="center"/>
          </w:tcPr>
          <w:p w14:paraId="31E1988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21AC4B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00" w:type="dxa"/>
            <w:vAlign w:val="center"/>
          </w:tcPr>
          <w:p w14:paraId="6CB63A0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批发和零售业</w:t>
            </w:r>
          </w:p>
        </w:tc>
        <w:tc>
          <w:tcPr>
            <w:tcW w:w="1443" w:type="dxa"/>
            <w:vAlign w:val="center"/>
          </w:tcPr>
          <w:p w14:paraId="5E6D48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038" w:type="dxa"/>
            <w:vAlign w:val="center"/>
          </w:tcPr>
          <w:p w14:paraId="31D783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卫生和社会工作</w:t>
            </w:r>
          </w:p>
        </w:tc>
        <w:tc>
          <w:tcPr>
            <w:tcW w:w="1426" w:type="dxa"/>
            <w:vAlign w:val="center"/>
          </w:tcPr>
          <w:p w14:paraId="10D7FD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-54.5</w:t>
            </w:r>
          </w:p>
        </w:tc>
      </w:tr>
      <w:tr w14:paraId="70772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000" w:type="dxa"/>
            <w:vAlign w:val="center"/>
          </w:tcPr>
          <w:p w14:paraId="144377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交通运输、仓储和邮政业</w:t>
            </w:r>
          </w:p>
        </w:tc>
        <w:tc>
          <w:tcPr>
            <w:tcW w:w="1443" w:type="dxa"/>
            <w:vAlign w:val="center"/>
          </w:tcPr>
          <w:p w14:paraId="69A568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-75.8</w:t>
            </w:r>
          </w:p>
        </w:tc>
        <w:tc>
          <w:tcPr>
            <w:tcW w:w="3038" w:type="dxa"/>
            <w:vAlign w:val="center"/>
          </w:tcPr>
          <w:p w14:paraId="7D111FB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文化、体育和娱乐业</w:t>
            </w:r>
          </w:p>
        </w:tc>
        <w:tc>
          <w:tcPr>
            <w:tcW w:w="1426" w:type="dxa"/>
            <w:vAlign w:val="center"/>
          </w:tcPr>
          <w:p w14:paraId="57A076A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-30.2</w:t>
            </w:r>
          </w:p>
        </w:tc>
      </w:tr>
      <w:tr w14:paraId="6A2200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000" w:type="dxa"/>
            <w:vAlign w:val="center"/>
          </w:tcPr>
          <w:p w14:paraId="483218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住宿和餐饮业</w:t>
            </w:r>
          </w:p>
        </w:tc>
        <w:tc>
          <w:tcPr>
            <w:tcW w:w="1443" w:type="dxa"/>
            <w:vAlign w:val="center"/>
          </w:tcPr>
          <w:p w14:paraId="42BCE9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-52.3</w:t>
            </w:r>
          </w:p>
        </w:tc>
        <w:tc>
          <w:tcPr>
            <w:tcW w:w="3038" w:type="dxa"/>
            <w:vAlign w:val="center"/>
          </w:tcPr>
          <w:p w14:paraId="1FAB1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公共管理、社会保障</w:t>
            </w:r>
          </w:p>
          <w:p w14:paraId="64DD871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和社会组织</w:t>
            </w:r>
          </w:p>
        </w:tc>
        <w:tc>
          <w:tcPr>
            <w:tcW w:w="1426" w:type="dxa"/>
            <w:vAlign w:val="center"/>
          </w:tcPr>
          <w:p w14:paraId="2CE7C8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-76.0</w:t>
            </w:r>
          </w:p>
        </w:tc>
      </w:tr>
      <w:tr w14:paraId="6B5BA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000" w:type="dxa"/>
            <w:vAlign w:val="center"/>
          </w:tcPr>
          <w:p w14:paraId="6B6CFD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信息传输、软件和</w:t>
            </w:r>
          </w:p>
          <w:p w14:paraId="5F88493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信息技术服务业</w:t>
            </w:r>
          </w:p>
        </w:tc>
        <w:tc>
          <w:tcPr>
            <w:tcW w:w="1443" w:type="dxa"/>
            <w:vAlign w:val="center"/>
          </w:tcPr>
          <w:p w14:paraId="3BD8CB3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038" w:type="dxa"/>
            <w:vAlign w:val="center"/>
          </w:tcPr>
          <w:p w14:paraId="3EC75B2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426" w:type="dxa"/>
            <w:vAlign w:val="center"/>
          </w:tcPr>
          <w:p w14:paraId="0A5C5F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121.4</w:t>
            </w:r>
          </w:p>
        </w:tc>
      </w:tr>
    </w:tbl>
    <w:p w14:paraId="4488FA3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全年房地产开发投资45432万元，同比下降74.3%。全年房屋施工面积95万平方米，同比增长6.0%；商品房销售面积18万平方米，同比增长60.7%，商品房销售额7.8亿元，同比增长47.2%。</w:t>
      </w:r>
    </w:p>
    <w:p w14:paraId="5C7B9FB7">
      <w:pPr>
        <w:bidi w:val="0"/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表5  2024年房地产开发和销售主要指标及其增长速度</w:t>
      </w:r>
    </w:p>
    <w:tbl>
      <w:tblPr>
        <w:tblStyle w:val="10"/>
        <w:tblW w:w="9378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1763"/>
        <w:gridCol w:w="2345"/>
        <w:gridCol w:w="2345"/>
      </w:tblGrid>
      <w:tr w14:paraId="76A35A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2EC7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  标</w:t>
            </w:r>
          </w:p>
        </w:tc>
        <w:tc>
          <w:tcPr>
            <w:tcW w:w="17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814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7284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</w:t>
            </w:r>
          </w:p>
        </w:tc>
        <w:tc>
          <w:tcPr>
            <w:tcW w:w="2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0F861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同比增长（%）</w:t>
            </w:r>
          </w:p>
        </w:tc>
      </w:tr>
      <w:tr w14:paraId="1419201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25" w:type="dxa"/>
            <w:tcBorders>
              <w:top w:val="single" w:color="auto" w:sz="4" w:space="0"/>
            </w:tcBorders>
            <w:vAlign w:val="center"/>
          </w:tcPr>
          <w:p w14:paraId="5B0091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投资额</w:t>
            </w:r>
          </w:p>
        </w:tc>
        <w:tc>
          <w:tcPr>
            <w:tcW w:w="1763" w:type="dxa"/>
            <w:tcBorders>
              <w:top w:val="single" w:color="auto" w:sz="4" w:space="0"/>
            </w:tcBorders>
            <w:vAlign w:val="center"/>
          </w:tcPr>
          <w:p w14:paraId="3EB0EA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vAlign w:val="center"/>
          </w:tcPr>
          <w:p w14:paraId="341F6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45432</w:t>
            </w:r>
          </w:p>
        </w:tc>
        <w:tc>
          <w:tcPr>
            <w:tcW w:w="2345" w:type="dxa"/>
            <w:tcBorders>
              <w:top w:val="single" w:color="auto" w:sz="4" w:space="0"/>
            </w:tcBorders>
            <w:vAlign w:val="center"/>
          </w:tcPr>
          <w:p w14:paraId="0CEF73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-74.3</w:t>
            </w:r>
          </w:p>
        </w:tc>
      </w:tr>
      <w:tr w14:paraId="0E93765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0B76A95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62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其中：住宅</w:t>
            </w:r>
          </w:p>
        </w:tc>
        <w:tc>
          <w:tcPr>
            <w:tcW w:w="1763" w:type="dxa"/>
            <w:vAlign w:val="center"/>
          </w:tcPr>
          <w:p w14:paraId="5730D4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345" w:type="dxa"/>
            <w:vAlign w:val="center"/>
          </w:tcPr>
          <w:p w14:paraId="5397A77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38651</w:t>
            </w:r>
          </w:p>
        </w:tc>
        <w:tc>
          <w:tcPr>
            <w:tcW w:w="2345" w:type="dxa"/>
            <w:vAlign w:val="center"/>
          </w:tcPr>
          <w:p w14:paraId="3E304C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-73.2</w:t>
            </w:r>
          </w:p>
        </w:tc>
      </w:tr>
      <w:tr w14:paraId="7D29C81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3A1618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房屋施工面积</w:t>
            </w:r>
          </w:p>
        </w:tc>
        <w:tc>
          <w:tcPr>
            <w:tcW w:w="1763" w:type="dxa"/>
            <w:vAlign w:val="center"/>
          </w:tcPr>
          <w:p w14:paraId="04A5BE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72FBE2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948873</w:t>
            </w:r>
          </w:p>
        </w:tc>
        <w:tc>
          <w:tcPr>
            <w:tcW w:w="2345" w:type="dxa"/>
            <w:vAlign w:val="center"/>
          </w:tcPr>
          <w:p w14:paraId="24B23B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</w:tr>
      <w:tr w14:paraId="773B3913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4D7915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62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其中：住宅</w:t>
            </w:r>
          </w:p>
        </w:tc>
        <w:tc>
          <w:tcPr>
            <w:tcW w:w="1763" w:type="dxa"/>
            <w:vAlign w:val="center"/>
          </w:tcPr>
          <w:p w14:paraId="073E45C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184F2C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766574</w:t>
            </w:r>
          </w:p>
        </w:tc>
        <w:tc>
          <w:tcPr>
            <w:tcW w:w="2345" w:type="dxa"/>
            <w:vAlign w:val="center"/>
          </w:tcPr>
          <w:p w14:paraId="3DF7D6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-0.03</w:t>
            </w:r>
          </w:p>
        </w:tc>
      </w:tr>
      <w:tr w14:paraId="143CB21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70879F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房屋新开工面积</w:t>
            </w:r>
          </w:p>
        </w:tc>
        <w:tc>
          <w:tcPr>
            <w:tcW w:w="1763" w:type="dxa"/>
            <w:vAlign w:val="center"/>
          </w:tcPr>
          <w:p w14:paraId="6664C3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73AABE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65124</w:t>
            </w:r>
          </w:p>
        </w:tc>
        <w:tc>
          <w:tcPr>
            <w:tcW w:w="2345" w:type="dxa"/>
            <w:vAlign w:val="center"/>
          </w:tcPr>
          <w:p w14:paraId="7E8608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-88.2</w:t>
            </w:r>
          </w:p>
        </w:tc>
      </w:tr>
      <w:tr w14:paraId="1FA2922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3553F2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62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其中：住宅</w:t>
            </w:r>
          </w:p>
        </w:tc>
        <w:tc>
          <w:tcPr>
            <w:tcW w:w="1763" w:type="dxa"/>
            <w:vAlign w:val="center"/>
          </w:tcPr>
          <w:p w14:paraId="7DF8D70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6084D7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63186</w:t>
            </w:r>
          </w:p>
        </w:tc>
        <w:tc>
          <w:tcPr>
            <w:tcW w:w="2345" w:type="dxa"/>
            <w:vAlign w:val="center"/>
          </w:tcPr>
          <w:p w14:paraId="36782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-86.2</w:t>
            </w:r>
          </w:p>
        </w:tc>
      </w:tr>
      <w:tr w14:paraId="3A6D1AA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32B706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房屋竣工面积</w:t>
            </w:r>
          </w:p>
        </w:tc>
        <w:tc>
          <w:tcPr>
            <w:tcW w:w="1763" w:type="dxa"/>
            <w:vAlign w:val="center"/>
          </w:tcPr>
          <w:p w14:paraId="22B154E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234D3A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45" w:type="dxa"/>
            <w:vAlign w:val="center"/>
          </w:tcPr>
          <w:p w14:paraId="19A3FE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65A0E1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07ACBD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62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其中：住宅</w:t>
            </w:r>
          </w:p>
        </w:tc>
        <w:tc>
          <w:tcPr>
            <w:tcW w:w="1763" w:type="dxa"/>
            <w:vAlign w:val="center"/>
          </w:tcPr>
          <w:p w14:paraId="3237A5A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35CE2F8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2345" w:type="dxa"/>
            <w:vAlign w:val="center"/>
          </w:tcPr>
          <w:p w14:paraId="57343A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064DF3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925" w:type="dxa"/>
            <w:vAlign w:val="center"/>
          </w:tcPr>
          <w:p w14:paraId="49BD44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商品房销售面积</w:t>
            </w:r>
          </w:p>
        </w:tc>
        <w:tc>
          <w:tcPr>
            <w:tcW w:w="1763" w:type="dxa"/>
            <w:vAlign w:val="center"/>
          </w:tcPr>
          <w:p w14:paraId="1D9B82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3E2A434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180475</w:t>
            </w:r>
          </w:p>
        </w:tc>
        <w:tc>
          <w:tcPr>
            <w:tcW w:w="2345" w:type="dxa"/>
            <w:vAlign w:val="center"/>
          </w:tcPr>
          <w:p w14:paraId="3C9134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60.7</w:t>
            </w:r>
          </w:p>
        </w:tc>
      </w:tr>
      <w:tr w14:paraId="559FD28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925" w:type="dxa"/>
            <w:vAlign w:val="center"/>
          </w:tcPr>
          <w:p w14:paraId="700E844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62" w:firstLineChars="1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其中：住宅</w:t>
            </w:r>
          </w:p>
        </w:tc>
        <w:tc>
          <w:tcPr>
            <w:tcW w:w="1763" w:type="dxa"/>
            <w:vAlign w:val="center"/>
          </w:tcPr>
          <w:p w14:paraId="12EE93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2345" w:type="dxa"/>
            <w:vAlign w:val="center"/>
          </w:tcPr>
          <w:p w14:paraId="1CC04B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</w:rPr>
              <w:t>171947</w:t>
            </w:r>
          </w:p>
        </w:tc>
        <w:tc>
          <w:tcPr>
            <w:tcW w:w="2345" w:type="dxa"/>
            <w:vAlign w:val="center"/>
          </w:tcPr>
          <w:p w14:paraId="6E6CDC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000000" w:themeColor="text1"/>
                <w:spacing w:val="11"/>
                <w:kern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60.8</w:t>
            </w:r>
          </w:p>
        </w:tc>
      </w:tr>
    </w:tbl>
    <w:p w14:paraId="4AC81B6E">
      <w:pPr>
        <w:pStyle w:val="7"/>
        <w:rPr>
          <w:rFonts w:hint="eastAsia"/>
          <w:highlight w:val="yellow"/>
        </w:rPr>
      </w:pPr>
    </w:p>
    <w:p w14:paraId="267C7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七、财政和金融</w:t>
      </w:r>
    </w:p>
    <w:p w14:paraId="6E79A55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完成公共财政预算收入37476万元，同比增长23.75%。公共财政预算支出724413万元，同比增长8.8%。其中，医疗卫生支出30744万元，同比下降4.4%；教育支出75563万元，同比增长1.8%；社会保障和就业支出93101万元，同比下降31.2%。（由旗财政局提供）。</w:t>
      </w:r>
    </w:p>
    <w:p w14:paraId="5316A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drawing>
          <wp:inline distT="0" distB="0" distL="114300" distR="114300">
            <wp:extent cx="5073650" cy="3013710"/>
            <wp:effectExtent l="4445" t="4445" r="8255" b="10795"/>
            <wp:docPr id="8" name="图表 7" descr="7b0a202020202263686172745265734964223a202232303437363038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95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金融机构人民币存款余额180.09亿元，比上年末增长11.6%。其中，住户存款余额153.27亿元，增长11.6%；广义政府存款14.14亿元，增长22.9%。年末全旗金融机构人民币贷款余额157.01亿元，比上年末增长14.9%。其中：中长期贷款余额81.54亿元，增长13.7%；短期贷款余额75.48亿元，增长16.3%（由盟人民银行提供）。</w:t>
      </w:r>
    </w:p>
    <w:p w14:paraId="0FB5B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八、居民收入消费和社会保障</w:t>
      </w:r>
    </w:p>
    <w:p w14:paraId="53E2A69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全年全旗居民人均可支配收入24455元，同比增长7.3%；全旗居民人均消费支出18611元，同比增长7.3%。</w:t>
      </w:r>
    </w:p>
    <w:p w14:paraId="520099F0">
      <w:pPr>
        <w:keepNext w:val="0"/>
        <w:keepLines w:val="0"/>
        <w:pageBreakBefore w:val="0"/>
        <w:widowControl w:val="0"/>
        <w:tabs>
          <w:tab w:val="left" w:pos="2786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drawing>
          <wp:inline distT="0" distB="0" distL="114300" distR="114300">
            <wp:extent cx="5612765" cy="3097530"/>
            <wp:effectExtent l="4445" t="4445" r="21590" b="60325"/>
            <wp:docPr id="9" name="图表 8" descr="7b0a202020202263686172745265734964223a20223230343736323530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A0D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按常住地分，城镇常住居民人均可支配收入38912元，同比增长6.1%。城镇常住居民人均消费支出26702元，同比增长4.8。农村牧区常住居民人均可支配收入18005元，同比增长7.5%。农村牧区常住居民人均消费支出16660元，同比增长7.5%。</w:t>
      </w:r>
    </w:p>
    <w:p w14:paraId="6968F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参加城镇职工基本养老保险56373人；参加城乡居民基本养老保险219257人，比上年增1374人。参加失业保险职工人数17500人，比上年增加2963人。领取失业保险金人数2718人次。工伤保险参保人数为20648人，比上年增加了920人。全年基本医疗保险参保人数31.62万人，参加基本医疗保险职工3.45万人；参加城乡居民基本医疗保险28.19万人，参保率达98%。（由旗人力资源和社会保障局、医疗保障局提供）。</w:t>
      </w:r>
    </w:p>
    <w:p w14:paraId="629F3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九、教育、科学技术和文化旅游体育</w:t>
      </w:r>
    </w:p>
    <w:p w14:paraId="7352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旗普通高考专科及以上上线人数（含职业高中）1987人，完全制中学3所，高中招收学生1503人，年末在校学生4321人。普通初中4所，初中阶段招收学生3445人，年末在校学生10430人。小学29所，当年招收学生2036人，年末在校学生17320人，全年小学适龄儿童入学率99.95%。年末有幼儿园110所，幼儿园在园幼儿5717人。全旗共有小学专任教师2060人，初中专任教师953人，普通高中专任教师420人。（由旗教育局提供）。</w:t>
      </w:r>
    </w:p>
    <w:p w14:paraId="50CEC45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全年科技经费支出1364.83万元。年内对农牧民进行科技培训2.5万人次，培训乡村技术骨干1500人次，送科技下乡300人次，受益群众达1.2万人（由旗农牧和科技局提供）。</w:t>
      </w:r>
    </w:p>
    <w:p w14:paraId="58A4B2EB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拥有乌兰牧骑专业表演团体1个，从业人员54人，全年专业艺术团体送文化下乡演出达到57场（次）；拥有文化馆1座，从业人员14人；文化站14个，从业人员14人；公共图书馆1座，从业人员6人，藏书量达7万册以上，各种报刊100余种；文物站1个，收藏文物810套件。（由旗文化旅游体育局提供）。</w:t>
      </w:r>
    </w:p>
    <w:p w14:paraId="3BB5DBA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年末全旗拥有广播电台1座，广播综合人口覆盖率99.87%；拥有电视台1座，电视综合人口覆盖率99.93%，“户户通”工程实施77005万套，有线电视用户8998户。（由旗委宣传部提供）。</w:t>
      </w:r>
    </w:p>
    <w:p w14:paraId="0760927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旅游A级旅游景区7个，旅行社11个。全年实现旅游总收入8.52亿元，同比增长15.2%；全年接待旅游人数达252.1万人次，同比增长20.5%。全年全旗体育健儿在重大竞赛中获奖牌9枚，其中：区级金牌2枚；盟级金牌2枚、银牌3枚、铜牌2枚。体育场地数461个，其中，足球场地数57个，篮球场地数356个，排球场地数48个。（由旗文化旅游体育局提供）。</w:t>
      </w:r>
    </w:p>
    <w:p w14:paraId="527B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卫生和社会服务</w:t>
      </w:r>
    </w:p>
    <w:p w14:paraId="31224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旗共有医疗卫生机构277个。其中：公立二级医疗机构4个，疾控中心1个、爱国卫生服务中心1个，驻旗医疗机构2个，苏木乡镇卫生院21个，社区卫生服务中心2个，个体诊所71个，门诊部2个。全旗医疗卫生机构编制床位数1481张，年末全旗卫生机构人员总数为2843人，其中，卫生技术人员2284人、执业医师（助理）926人、注册护士852人。拥有乡村一体化管理村卫生室172个，拥有乡村医生176人（由旗卫生健康委员会提供）。</w:t>
      </w:r>
    </w:p>
    <w:p w14:paraId="287B4B4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末全旗共有城镇社区和农村社区31个。全旗共有区域性敬老院4个，敬老院床位428张，集中供养207人。全年共有44573人得到国家最低生活保障救济，同比增加2782人。其中：享受农村最低生活保障的居民为42072人，享受城镇最低生活保障的居民为3631人。（由旗民政局提供）。</w:t>
      </w:r>
    </w:p>
    <w:p w14:paraId="68F04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十一、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资源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环境</w:t>
      </w:r>
    </w:p>
    <w:p w14:paraId="683645FC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总用水量3.8437亿立方米，比上年下降2.6%。其中，生活用水0.1041亿立方米，比上年下降1.79%：工业用水0.0026亿立方米，比上年下降18.75%：农业用水3.3788亿立方米，比上年下降4.19%：生态䃼水0.3581亿立方米，比上年增长15.14%。万元工业增加值用水量8.07立方米，比上年增长12.4%。（由旗水利局提供）。</w:t>
      </w:r>
    </w:p>
    <w:p w14:paraId="46B7C9A4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全旗共完成营造林任务6.77万亩，其中：封山育林2万亩、人工造林3.31万亩、退化林修复0.92万亩，村屯绿化18个。苗木面积0.54万亩，当年苗木产量2250.8万株。年末全旗森林面积约458.34万亩，森林覆盖率25.67％（由旗林业和草原局提供）。</w:t>
      </w:r>
    </w:p>
    <w:p w14:paraId="20059B0E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全旗共确定国家级自然保护区1个，图牧吉国家级自然保护区，保护区面积76210公顷。年末全旗环境保护系统有职工38人，扎赉特旗生态环境监测站1个，环境监测人员16人。（由兴安盟生态环境局扎赉特旗分局提供）。</w:t>
      </w:r>
    </w:p>
    <w:p w14:paraId="0AE2DFE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全年规模以上工业综合能源消费量比上年同比下降9.01%，其中：六大高耗能行业综合能源消费量同比下降14.9%。主要耗能工业企业吨水泥熟料综合能耗比上年同比增长10.5%。</w:t>
      </w:r>
    </w:p>
    <w:p w14:paraId="28F99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</w:p>
    <w:p w14:paraId="32E64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</w:p>
    <w:p w14:paraId="445E9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注释：</w:t>
      </w:r>
    </w:p>
    <w:p w14:paraId="321A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1、本公报部分数据为初步统计数。</w:t>
      </w:r>
    </w:p>
    <w:p w14:paraId="28DBC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2、部分数据因四舍五入的原因，存在着与分项合计不等的情况。</w:t>
      </w:r>
    </w:p>
    <w:p w14:paraId="7670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3、地区生产总值及各产业、各行业增加值增长速度按可比价格计算。</w:t>
      </w:r>
    </w:p>
    <w:p w14:paraId="43485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4、能耗数据中规模以上工业综合能源消费量口径按当量值计算。</w:t>
      </w:r>
    </w:p>
    <w:p w14:paraId="367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5、本公报中除特别注明数据提供部门外，其他数据均来自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旗</w:t>
      </w:r>
      <w:r>
        <w:rPr>
          <w:rFonts w:hint="eastAsia" w:ascii="仿宋" w:hAnsi="仿宋" w:eastAsia="仿宋" w:cs="仿宋"/>
          <w:sz w:val="28"/>
          <w:szCs w:val="28"/>
        </w:rPr>
        <w:t>统计局。</w:t>
      </w:r>
    </w:p>
    <w:p w14:paraId="7717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644" w:right="1531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9B9AD1-F076-49AF-B0CD-4018FED289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92D73A2-EB2E-478F-A2DE-1FF3F152238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68DB80-98B7-464D-8E6B-B2377F01026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A7CA7D4-041F-4BA0-9EA1-7E99CC2342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989ADFE-9B6E-4E1A-9913-A2CF50F096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FB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A23D8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23D8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zZlYzViODUyMjk1MjQxNDVmYzMxN2VmODRjMGIifQ=="/>
  </w:docVars>
  <w:rsids>
    <w:rsidRoot w:val="75B9315B"/>
    <w:rsid w:val="00055C24"/>
    <w:rsid w:val="01C40F4D"/>
    <w:rsid w:val="02B11C4C"/>
    <w:rsid w:val="0328143D"/>
    <w:rsid w:val="044C76C0"/>
    <w:rsid w:val="046643CE"/>
    <w:rsid w:val="06557640"/>
    <w:rsid w:val="07204668"/>
    <w:rsid w:val="078F3B32"/>
    <w:rsid w:val="0A99092D"/>
    <w:rsid w:val="0BB96066"/>
    <w:rsid w:val="0E477133"/>
    <w:rsid w:val="0F4300E4"/>
    <w:rsid w:val="0FA9190C"/>
    <w:rsid w:val="0FD13FFF"/>
    <w:rsid w:val="1002236C"/>
    <w:rsid w:val="108357F2"/>
    <w:rsid w:val="119E43F3"/>
    <w:rsid w:val="13452E1F"/>
    <w:rsid w:val="135C21F0"/>
    <w:rsid w:val="14B47D22"/>
    <w:rsid w:val="163B61FE"/>
    <w:rsid w:val="17207BC5"/>
    <w:rsid w:val="19403784"/>
    <w:rsid w:val="1A5E4308"/>
    <w:rsid w:val="1C1918CE"/>
    <w:rsid w:val="1E557863"/>
    <w:rsid w:val="1EB02A61"/>
    <w:rsid w:val="205F6EAE"/>
    <w:rsid w:val="229E248F"/>
    <w:rsid w:val="239A0718"/>
    <w:rsid w:val="286745BE"/>
    <w:rsid w:val="2C5557FE"/>
    <w:rsid w:val="2E4C6AC3"/>
    <w:rsid w:val="318301BD"/>
    <w:rsid w:val="34120C85"/>
    <w:rsid w:val="3424296D"/>
    <w:rsid w:val="355B5B18"/>
    <w:rsid w:val="3A577D39"/>
    <w:rsid w:val="3C964E88"/>
    <w:rsid w:val="4100447B"/>
    <w:rsid w:val="41564E0E"/>
    <w:rsid w:val="432C5477"/>
    <w:rsid w:val="43BA4065"/>
    <w:rsid w:val="47660F3F"/>
    <w:rsid w:val="49445A24"/>
    <w:rsid w:val="4A851957"/>
    <w:rsid w:val="4E156EAF"/>
    <w:rsid w:val="4E751D3E"/>
    <w:rsid w:val="50CC366C"/>
    <w:rsid w:val="50FB013A"/>
    <w:rsid w:val="51165158"/>
    <w:rsid w:val="51D43327"/>
    <w:rsid w:val="547A66BE"/>
    <w:rsid w:val="555F1B9E"/>
    <w:rsid w:val="55CB2BCB"/>
    <w:rsid w:val="57AA7886"/>
    <w:rsid w:val="59DF3FB0"/>
    <w:rsid w:val="5B79037E"/>
    <w:rsid w:val="5FBC61CD"/>
    <w:rsid w:val="60147F30"/>
    <w:rsid w:val="606A3057"/>
    <w:rsid w:val="61DB4015"/>
    <w:rsid w:val="63DE6898"/>
    <w:rsid w:val="63EA1CC2"/>
    <w:rsid w:val="64453F9C"/>
    <w:rsid w:val="67CD4ED5"/>
    <w:rsid w:val="684F34B9"/>
    <w:rsid w:val="69686CFC"/>
    <w:rsid w:val="6C917E39"/>
    <w:rsid w:val="70AB7EBB"/>
    <w:rsid w:val="715B6425"/>
    <w:rsid w:val="738610F1"/>
    <w:rsid w:val="75B9315B"/>
    <w:rsid w:val="76357818"/>
    <w:rsid w:val="7A1B7EC5"/>
    <w:rsid w:val="7A7D3CB6"/>
    <w:rsid w:val="7D574627"/>
    <w:rsid w:val="7E336EBA"/>
    <w:rsid w:val="7E3F7E56"/>
    <w:rsid w:val="7EA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Times New Roman" w:hAnsi="Times New Roman" w:cs="Times New Roman"/>
    </w:rPr>
  </w:style>
  <w:style w:type="paragraph" w:styleId="3">
    <w:name w:val="Body Text Indent"/>
    <w:basedOn w:val="1"/>
    <w:next w:val="1"/>
    <w:autoRedefine/>
    <w:qFormat/>
    <w:uiPriority w:val="0"/>
    <w:pPr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autoRedefine/>
    <w:qFormat/>
    <w:uiPriority w:val="0"/>
    <w:pPr>
      <w:ind w:firstLine="960" w:firstLineChars="200"/>
    </w:pPr>
    <w:rPr>
      <w:rFonts w:eastAsia="宋体"/>
    </w:rPr>
  </w:style>
  <w:style w:type="paragraph" w:styleId="8">
    <w:name w:val="Body Text First Indent 2"/>
    <w:basedOn w:val="3"/>
    <w:next w:val="1"/>
    <w:autoRedefine/>
    <w:qFormat/>
    <w:uiPriority w:val="0"/>
    <w:pPr>
      <w:widowControl/>
      <w:ind w:firstLine="420" w:firstLineChars="200"/>
    </w:pPr>
    <w:rPr>
      <w:rFonts w:ascii="Calibri" w:hAnsi="Calibri" w:cs="Calibri"/>
      <w:sz w:val="24"/>
      <w:szCs w:val="24"/>
      <w:lang w:eastAsia="en-US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4" Type="http://schemas.microsoft.com/office/2011/relationships/chartColorStyle" Target="colors7.xml"/><Relationship Id="rId3" Type="http://schemas.microsoft.com/office/2011/relationships/chartStyle" Target="style7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24&#20844;&#25253;&#22270;&#34920;.xlsx" TargetMode="External"/></Relationships>
</file>

<file path=word/charts/_rels/chart8.xml.rels><?xml version="1.0" encoding="UTF-8" standalone="yes"?>
<Relationships xmlns="http://schemas.openxmlformats.org/package/2006/relationships"><Relationship Id="rId4" Type="http://schemas.microsoft.com/office/2011/relationships/chartColorStyle" Target="colors8.xml"/><Relationship Id="rId3" Type="http://schemas.microsoft.com/office/2011/relationships/chartStyle" Target="style8.xml"/><Relationship Id="rId2" Type="http://schemas.openxmlformats.org/officeDocument/2006/relationships/themeOverride" Target="../theme/themeOverride6.xml"/><Relationship Id="rId1" Type="http://schemas.openxmlformats.org/officeDocument/2006/relationships/oleObject" Target="file:///C:\Users\Administrator\Desktop\24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b="1"/>
              <a:t>图1     20</a:t>
            </a:r>
            <a:r>
              <a:rPr lang="en-US" altLang="zh-CN" b="1"/>
              <a:t>20</a:t>
            </a:r>
            <a:r>
              <a:rPr b="1"/>
              <a:t>—20</a:t>
            </a:r>
            <a:r>
              <a:rPr lang="en-US" altLang="zh-CN" b="1"/>
              <a:t>24</a:t>
            </a:r>
            <a:r>
              <a:rPr b="1"/>
              <a:t>年地区生产总值情况</a:t>
            </a:r>
            <a:endParaRPr b="1"/>
          </a:p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b="1"/>
          </a:p>
        </c:rich>
      </c:tx>
      <c:layout>
        <c:manualLayout>
          <c:xMode val="edge"/>
          <c:yMode val="edge"/>
          <c:x val="0.218299081766506"/>
          <c:y val="0.025279123657046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[24公报图表.xlsx]Sheet1!$B$1</c:f>
              <c:strCache>
                <c:ptCount val="1"/>
                <c:pt idx="0">
                  <c:v>地区生产总值（亿元）</c:v>
                </c:pt>
              </c:strCache>
            </c:strRef>
          </c:tx>
          <c:spPr>
            <a:solidFill>
              <a:schemeClr val="accent2">
                <a:alpha val="60000"/>
              </a:schemeClr>
            </a:solidFill>
            <a:ln w="15875">
              <a:solidFill>
                <a:schemeClr val="accent2"/>
              </a:solidFill>
            </a:ln>
            <a:effectLst/>
            <a:sp3d contourW="158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[24公报图表.xlsx]Sheet1!$B$2:$B$6</c:f>
              <c:numCache>
                <c:formatCode>General</c:formatCode>
                <c:ptCount val="5"/>
                <c:pt idx="0">
                  <c:v>102.7</c:v>
                </c:pt>
                <c:pt idx="1">
                  <c:v>110.6</c:v>
                </c:pt>
                <c:pt idx="2">
                  <c:v>127.93</c:v>
                </c:pt>
                <c:pt idx="3">
                  <c:v>131.85</c:v>
                </c:pt>
                <c:pt idx="4">
                  <c:v>144.63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506422945"/>
        <c:axId val="958483331"/>
      </c:barChart>
      <c:lineChart>
        <c:grouping val="standard"/>
        <c:varyColors val="0"/>
        <c:ser>
          <c:idx val="0"/>
          <c:order val="0"/>
          <c:tx>
            <c:strRef>
              <c:f>[24公报图表.xlsx]Sheet1!$C$1</c:f>
              <c:strCache>
                <c:ptCount val="1"/>
                <c:pt idx="0">
                  <c:v>同比增长（%）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>
              <a:outerShdw blurRad="50800" dist="25400" dir="5400000" algn="t" rotWithShape="0">
                <a:schemeClr val="accent1">
                  <a:lumMod val="50000"/>
                  <a:alpha val="40000"/>
                </a:scheme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5875">
                <a:solidFill>
                  <a:schemeClr val="bg1"/>
                </a:solidFill>
                <a:round/>
              </a:ln>
              <a:effectLst>
                <a:outerShdw blurRad="50800" dist="25400" dir="5400000" algn="t" rotWithShape="0">
                  <a:schemeClr val="accent1">
                    <a:lumMod val="50000"/>
                    <a:alpha val="40000"/>
                  </a:schemeClr>
                </a:outerShdw>
              </a:effectLst>
            </c:spPr>
          </c:marker>
          <c:dLbls>
            <c:dLbl>
              <c:idx val="0"/>
              <c:layout>
                <c:manualLayout>
                  <c:x val="0.043421052631579"/>
                  <c:y val="-0.03584229390681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414473684210526"/>
                  <c:y val="0.068100358422939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572368421052632"/>
                  <c:y val="-0.01433691756272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513157894736842"/>
                  <c:y val="0.075268817204301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77631578947368"/>
                  <c:y val="0.06451612903225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[24公报图表.xlsx]Sheet1!$C$2:$C$6</c:f>
              <c:numCache>
                <c:formatCode>General</c:formatCode>
                <c:ptCount val="5"/>
                <c:pt idx="0">
                  <c:v>3.4</c:v>
                </c:pt>
                <c:pt idx="1">
                  <c:v>6.1</c:v>
                </c:pt>
                <c:pt idx="2">
                  <c:v>3.3</c:v>
                </c:pt>
                <c:pt idx="3">
                  <c:v>4.3</c:v>
                </c:pt>
                <c:pt idx="4" c:formatCode="0.0_ 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7679779"/>
        <c:axId val="666251533"/>
      </c:lineChart>
      <c:catAx>
        <c:axId val="50642294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958483331"/>
        <c:crosses val="autoZero"/>
        <c:auto val="1"/>
        <c:lblAlgn val="ctr"/>
        <c:lblOffset val="100"/>
        <c:noMultiLvlLbl val="0"/>
      </c:catAx>
      <c:valAx>
        <c:axId val="958483331"/>
        <c:scaling>
          <c:orientation val="minMax"/>
          <c:max val="160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6422945"/>
        <c:crosses val="autoZero"/>
        <c:crossBetween val="between"/>
        <c:majorUnit val="20"/>
      </c:valAx>
      <c:catAx>
        <c:axId val="62767977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666251533"/>
        <c:crosses val="autoZero"/>
        <c:auto val="1"/>
        <c:lblAlgn val="ctr"/>
        <c:lblOffset val="100"/>
        <c:noMultiLvlLbl val="0"/>
      </c:catAx>
      <c:valAx>
        <c:axId val="666251533"/>
        <c:scaling>
          <c:orientation val="minMax"/>
          <c:max val="1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27679779"/>
        <c:crosses val="max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243a910-c266-4d59-82b5-7e9bec21bb70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图2     20</a:t>
            </a:r>
            <a:r>
              <a:rPr lang="en-US" altLang="zh-CN"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20</a:t>
            </a: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—20</a:t>
            </a:r>
            <a:r>
              <a:rPr lang="en-US" altLang="zh-CN"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24</a:t>
            </a: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</a:rPr>
              <a:t>年粮食产量（亿斤）</a:t>
            </a:r>
            <a:endParaRPr b="1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[24公报图表.xlsx]Sheet1!$D$1</c:f>
              <c:strCache>
                <c:ptCount val="1"/>
                <c:pt idx="0">
                  <c:v>粮食产量（亿斤）</c:v>
                </c:pt>
              </c:strCache>
            </c:strRef>
          </c:tx>
          <c:spPr>
            <a:gradFill>
              <a:gsLst>
                <a:gs pos="0">
                  <a:schemeClr val="accent4">
                    <a:lumMod val="40000"/>
                    <a:lumOff val="60000"/>
                  </a:schemeClr>
                </a:gs>
                <a:gs pos="90000">
                  <a:schemeClr val="accent4"/>
                </a:gs>
              </a:gsLst>
              <a:lin ang="5400000" scaled="0"/>
            </a:gradFill>
            <a:ln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4">
                  <a:lumMod val="50000"/>
                  <a:alpha val="30000"/>
                </a:scheme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[24公报图表.xlsx]Sheet1!$D$2:$D$6</c:f>
              <c:numCache>
                <c:formatCode>General</c:formatCode>
                <c:ptCount val="5"/>
                <c:pt idx="0">
                  <c:v>43.52</c:v>
                </c:pt>
                <c:pt idx="1">
                  <c:v>46.3</c:v>
                </c:pt>
                <c:pt idx="2">
                  <c:v>47.06</c:v>
                </c:pt>
                <c:pt idx="3">
                  <c:v>47.41</c:v>
                </c:pt>
                <c:pt idx="4">
                  <c:v>49.5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326055541"/>
        <c:axId val="79408612"/>
      </c:barChart>
      <c:catAx>
        <c:axId val="32605554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79408612"/>
        <c:crosses val="autoZero"/>
        <c:auto val="1"/>
        <c:lblAlgn val="ctr"/>
        <c:lblOffset val="100"/>
        <c:noMultiLvlLbl val="0"/>
      </c:catAx>
      <c:valAx>
        <c:axId val="794086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2605554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>
        <c:manualLayout>
          <c:xMode val="edge"/>
          <c:yMode val="edge"/>
          <c:x val="0.283701492537313"/>
          <c:y val="0.891916859122402"/>
          <c:w val="0.371582089552239"/>
          <c:h val="0.086143187066974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7936d98-029b-47db-82bf-3005b2168d0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 anchor="ctr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图3     20</a:t>
            </a:r>
            <a:r>
              <a:rPr lang="en-US" altLang="zh-CN" b="1">
                <a:solidFill>
                  <a:sysClr val="windowText" lastClr="000000"/>
                </a:solidFill>
              </a:rPr>
              <a:t>20</a:t>
            </a:r>
            <a:r>
              <a:rPr b="1">
                <a:solidFill>
                  <a:sysClr val="windowText" lastClr="000000"/>
                </a:solidFill>
              </a:rPr>
              <a:t>—202</a:t>
            </a:r>
            <a:r>
              <a:rPr lang="en-US" altLang="zh-CN" b="1">
                <a:solidFill>
                  <a:sysClr val="windowText" lastClr="000000"/>
                </a:solidFill>
              </a:rPr>
              <a:t>4</a:t>
            </a:r>
            <a:r>
              <a:rPr b="1">
                <a:solidFill>
                  <a:sysClr val="windowText" lastClr="000000"/>
                </a:solidFill>
              </a:rPr>
              <a:t>年全部工业增加值</a:t>
            </a:r>
            <a:endParaRPr b="1">
              <a:solidFill>
                <a:sysClr val="windowText" lastClr="000000"/>
              </a:solidFill>
            </a:endParaRPr>
          </a:p>
          <a:p>
            <a:pPr defTabSz="914400">
              <a:defRPr lang="zh-CN"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  </a:t>
            </a:r>
            <a:endParaRPr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01494365507104"/>
          <c:y val="0.02921840759678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[24公报图表.xlsx]Sheet1!$E$1</c:f>
              <c:strCache>
                <c:ptCount val="1"/>
                <c:pt idx="0">
                  <c:v>全部工业增加值（亿元）</c:v>
                </c:pt>
              </c:strCache>
            </c:strRef>
          </c:tx>
          <c:spPr>
            <a:solidFill>
              <a:schemeClr val="accent2">
                <a:alpha val="60000"/>
              </a:schemeClr>
            </a:solidFill>
            <a:ln w="15875">
              <a:solidFill>
                <a:schemeClr val="accent2"/>
              </a:solidFill>
            </a:ln>
            <a:effectLst/>
            <a:sp3d contourW="158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[24公报图表.xlsx]Sheet1!$E$2:$E$6</c:f>
              <c:numCache>
                <c:formatCode>General</c:formatCode>
                <c:ptCount val="5"/>
                <c:pt idx="0">
                  <c:v>3.27</c:v>
                </c:pt>
                <c:pt idx="1">
                  <c:v>3.61</c:v>
                </c:pt>
                <c:pt idx="2">
                  <c:v>4.37</c:v>
                </c:pt>
                <c:pt idx="3">
                  <c:v>3.29</c:v>
                </c:pt>
                <c:pt idx="4">
                  <c:v>3.34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607997392"/>
        <c:axId val="37084438"/>
      </c:barChart>
      <c:lineChart>
        <c:grouping val="standard"/>
        <c:varyColors val="0"/>
        <c:ser>
          <c:idx val="0"/>
          <c:order val="0"/>
          <c:tx>
            <c:strRef>
              <c:f>[24公报图表.xlsx]Sheet1!$F$1</c:f>
              <c:strCache>
                <c:ptCount val="1"/>
                <c:pt idx="0">
                  <c:v>同比增长（%）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>
              <a:outerShdw blurRad="50800" dist="25400" dir="5400000" algn="t" rotWithShape="0">
                <a:schemeClr val="accent1">
                  <a:lumMod val="50000"/>
                  <a:alpha val="40000"/>
                </a:scheme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5875">
                <a:solidFill>
                  <a:schemeClr val="bg1"/>
                </a:solidFill>
                <a:round/>
              </a:ln>
              <a:effectLst>
                <a:outerShdw blurRad="50800" dist="25400" dir="5400000" algn="t" rotWithShape="0">
                  <a:schemeClr val="accent1">
                    <a:lumMod val="50000"/>
                    <a:alpha val="40000"/>
                  </a:schemeClr>
                </a:outerShdw>
              </a:effectLst>
            </c:spPr>
          </c:marker>
          <c:dLbls>
            <c:dLbl>
              <c:idx val="0"/>
              <c:layout>
                <c:manualLayout>
                  <c:x val="0.0369763632108589"/>
                  <c:y val="0.063492063492063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50666978703487"/>
                  <c:y val="-0.02814814814814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409548326702551"/>
                  <c:y val="0.04232804232804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643575941961151"/>
                  <c:y val="-0.01058201058201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34027615258601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[24公报图表.xlsx]Sheet1!$F$2:$F$6</c:f>
              <c:numCache>
                <c:formatCode>General</c:formatCode>
                <c:ptCount val="5"/>
                <c:pt idx="0">
                  <c:v>7.3</c:v>
                </c:pt>
                <c:pt idx="1">
                  <c:v>-4.6</c:v>
                </c:pt>
                <c:pt idx="2">
                  <c:v>0.6</c:v>
                </c:pt>
                <c:pt idx="3">
                  <c:v>-19.2</c:v>
                </c:pt>
                <c:pt idx="4">
                  <c:v>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0384356"/>
        <c:axId val="446011198"/>
      </c:lineChart>
      <c:catAx>
        <c:axId val="60799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7084438"/>
        <c:crosses val="autoZero"/>
        <c:auto val="1"/>
        <c:lblAlgn val="ctr"/>
        <c:lblOffset val="100"/>
        <c:noMultiLvlLbl val="0"/>
      </c:catAx>
      <c:valAx>
        <c:axId val="3708443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7997392"/>
        <c:crosses val="autoZero"/>
        <c:crossBetween val="between"/>
        <c:majorUnit val="1"/>
      </c:valAx>
      <c:catAx>
        <c:axId val="7803843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446011198"/>
        <c:crosses val="autoZero"/>
        <c:auto val="1"/>
        <c:lblAlgn val="ctr"/>
        <c:lblOffset val="100"/>
        <c:noMultiLvlLbl val="0"/>
      </c:catAx>
      <c:valAx>
        <c:axId val="446011198"/>
        <c:scaling>
          <c:orientation val="minMax"/>
          <c:max val="35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8038435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03439a-8c87-4561-9a21-32ec168e1570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b="1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b="1"/>
              <a:t>图</a:t>
            </a:r>
            <a:r>
              <a:rPr lang="en-US" altLang="zh-CN" b="1"/>
              <a:t>4</a:t>
            </a:r>
            <a:r>
              <a:rPr altLang="en-US" b="1"/>
              <a:t>     </a:t>
            </a:r>
            <a:r>
              <a:rPr lang="en-US" altLang="zh-CN" b="1"/>
              <a:t>2020—2024</a:t>
            </a:r>
            <a:r>
              <a:rPr altLang="en-US" b="1"/>
              <a:t>年建筑业增加值及其增长速度</a:t>
            </a:r>
            <a:endParaRPr altLang="en-US" b="1"/>
          </a:p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 altLang="zh-CN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[24公报图表.xlsx]Sheet1!$G$1</c:f>
              <c:strCache>
                <c:ptCount val="1"/>
                <c:pt idx="0">
                  <c:v>建筑业增加值（亿元）</c:v>
                </c:pt>
              </c:strCache>
            </c:strRef>
          </c:tx>
          <c:spPr>
            <a:solidFill>
              <a:schemeClr val="accent2">
                <a:alpha val="60000"/>
              </a:schemeClr>
            </a:solidFill>
            <a:ln w="15875">
              <a:solidFill>
                <a:schemeClr val="accent2"/>
              </a:solidFill>
            </a:ln>
            <a:effectLst/>
            <a:sp3d contourW="158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[24公报图表.xlsx]Sheet1!$G$2:$G$6</c:f>
              <c:numCache>
                <c:formatCode>General</c:formatCode>
                <c:ptCount val="5"/>
                <c:pt idx="0">
                  <c:v>5.63</c:v>
                </c:pt>
                <c:pt idx="1">
                  <c:v>5.98</c:v>
                </c:pt>
                <c:pt idx="2">
                  <c:v>4.88</c:v>
                </c:pt>
                <c:pt idx="3">
                  <c:v>6.13</c:v>
                </c:pt>
                <c:pt idx="4" c:formatCode="0.00_ ">
                  <c:v>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928648356"/>
        <c:axId val="229749634"/>
      </c:barChart>
      <c:lineChart>
        <c:grouping val="standard"/>
        <c:varyColors val="0"/>
        <c:ser>
          <c:idx val="0"/>
          <c:order val="0"/>
          <c:tx>
            <c:strRef>
              <c:f>[24公报图表.xlsx]Sheet1!$H$1</c:f>
              <c:strCache>
                <c:ptCount val="1"/>
                <c:pt idx="0">
                  <c:v>同比增长（%）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>
              <a:outerShdw blurRad="50800" dist="25400" dir="5400000" algn="t" rotWithShape="0">
                <a:schemeClr val="accent1">
                  <a:lumMod val="50000"/>
                  <a:alpha val="40000"/>
                </a:scheme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5875">
                <a:solidFill>
                  <a:schemeClr val="bg1"/>
                </a:solidFill>
                <a:round/>
              </a:ln>
              <a:effectLst>
                <a:outerShdw blurRad="50800" dist="25400" dir="5400000" algn="t" rotWithShape="0">
                  <a:schemeClr val="accent1">
                    <a:lumMod val="50000"/>
                    <a:alpha val="40000"/>
                  </a:schemeClr>
                </a:outerShdw>
              </a:effectLst>
            </c:spPr>
          </c:marker>
          <c:dLbls>
            <c:dLbl>
              <c:idx val="0"/>
              <c:layout>
                <c:manualLayout>
                  <c:x val="0.035048569178262"/>
                  <c:y val="-0.027185376142488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28170123391966"/>
                  <c:y val="0.03515350363252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9380414807036"/>
                  <c:y val="-0.03890321068666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05854555001313"/>
                  <c:y val="0.01570189828919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19217642425834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[24公报图表.xlsx]Sheet1!$H$2:$H$6</c:f>
              <c:numCache>
                <c:formatCode>General</c:formatCode>
                <c:ptCount val="5"/>
                <c:pt idx="0">
                  <c:v>-4.3</c:v>
                </c:pt>
                <c:pt idx="1">
                  <c:v>4.6</c:v>
                </c:pt>
                <c:pt idx="2">
                  <c:v>0.9</c:v>
                </c:pt>
                <c:pt idx="3">
                  <c:v>26.1</c:v>
                </c:pt>
                <c:pt idx="4">
                  <c:v>-3.8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48741"/>
        <c:axId val="640617663"/>
      </c:lineChart>
      <c:catAx>
        <c:axId val="9286483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29749634"/>
        <c:crosses val="autoZero"/>
        <c:auto val="1"/>
        <c:lblAlgn val="ctr"/>
        <c:lblOffset val="100"/>
        <c:noMultiLvlLbl val="0"/>
      </c:catAx>
      <c:valAx>
        <c:axId val="22974963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28648356"/>
        <c:crosses val="autoZero"/>
        <c:crossBetween val="between"/>
      </c:valAx>
      <c:catAx>
        <c:axId val="5984874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640617663"/>
        <c:crosses val="autoZero"/>
        <c:auto val="1"/>
        <c:lblAlgn val="ctr"/>
        <c:lblOffset val="100"/>
        <c:noMultiLvlLbl val="0"/>
      </c:catAx>
      <c:valAx>
        <c:axId val="640617663"/>
        <c:scaling>
          <c:orientation val="minMax"/>
          <c:max val="40"/>
          <c:min val="-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848741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03ae652-aec5-4fca-98ae-9cf9c119f07c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b="1"/>
              <a:t>图</a:t>
            </a:r>
            <a:r>
              <a:rPr lang="en-US" altLang="zh-CN" b="1"/>
              <a:t>5</a:t>
            </a:r>
            <a:r>
              <a:rPr altLang="en-US" b="1"/>
              <a:t>     </a:t>
            </a:r>
            <a:r>
              <a:rPr lang="en-US" altLang="zh-CN" b="1"/>
              <a:t>2019—2023</a:t>
            </a:r>
            <a:r>
              <a:rPr altLang="en-US" b="1"/>
              <a:t>年服务业增加值及其增长速度</a:t>
            </a:r>
            <a:endParaRPr altLang="en-US" b="1"/>
          </a:p>
          <a:p>
            <a:pPr defTabSz="914400">
              <a:defRPr lang="zh-CN"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 altLang="zh-CN" b="1"/>
          </a:p>
        </c:rich>
      </c:tx>
      <c:layout>
        <c:manualLayout>
          <c:xMode val="edge"/>
          <c:yMode val="edge"/>
          <c:x val="0.136369535099872"/>
          <c:y val="0.034726756273580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[24公报图表.xlsx]Sheet1!$I$1</c:f>
              <c:strCache>
                <c:ptCount val="1"/>
                <c:pt idx="0">
                  <c:v>服务业增加值（亿元）</c:v>
                </c:pt>
              </c:strCache>
            </c:strRef>
          </c:tx>
          <c:spPr>
            <a:solidFill>
              <a:schemeClr val="accent2">
                <a:alpha val="60000"/>
              </a:schemeClr>
            </a:solidFill>
            <a:ln w="15875">
              <a:solidFill>
                <a:schemeClr val="accent2"/>
              </a:solidFill>
            </a:ln>
            <a:effectLst/>
            <a:sp3d contourW="158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[24公报图表.xlsx]Sheet1!$I$2:$I$6</c:f>
              <c:numCache>
                <c:formatCode>General</c:formatCode>
                <c:ptCount val="5"/>
                <c:pt idx="0">
                  <c:v>38.56</c:v>
                </c:pt>
                <c:pt idx="1">
                  <c:v>38.77</c:v>
                </c:pt>
                <c:pt idx="2">
                  <c:v>39.93</c:v>
                </c:pt>
                <c:pt idx="3">
                  <c:v>42.18</c:v>
                </c:pt>
                <c:pt idx="4">
                  <c:v>50.55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993378357"/>
        <c:axId val="171314592"/>
      </c:barChart>
      <c:lineChart>
        <c:grouping val="standard"/>
        <c:varyColors val="0"/>
        <c:ser>
          <c:idx val="0"/>
          <c:order val="0"/>
          <c:tx>
            <c:strRef>
              <c:f>[24公报图表.xlsx]Sheet1!$J$1</c:f>
              <c:strCache>
                <c:ptCount val="1"/>
                <c:pt idx="0">
                  <c:v>同比增长（%）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>
              <a:outerShdw blurRad="50800" dist="25400" dir="5400000" algn="t" rotWithShape="0">
                <a:schemeClr val="accent1">
                  <a:lumMod val="50000"/>
                  <a:alpha val="40000"/>
                </a:scheme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5875">
                <a:solidFill>
                  <a:schemeClr val="bg1"/>
                </a:solidFill>
                <a:round/>
              </a:ln>
              <a:effectLst>
                <a:outerShdw blurRad="50800" dist="25400" dir="5400000" algn="t" rotWithShape="0">
                  <a:schemeClr val="accent1">
                    <a:lumMod val="50000"/>
                    <a:alpha val="40000"/>
                  </a:schemeClr>
                </a:outerShdw>
              </a:effectLst>
            </c:spPr>
          </c:marker>
          <c:dLbls>
            <c:dLbl>
              <c:idx val="0"/>
              <c:layout>
                <c:manualLayout>
                  <c:x val="0.0437007874015748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28083989501312"/>
                  <c:y val="0.0077355836849507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28083989501312"/>
                  <c:y val="0.0077355836849507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93700787401575"/>
                  <c:y val="-0.0037505860290670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284776902887139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[24公报图表.xlsx]Sheet1!$J$2:$J$6</c:f>
              <c:numCache>
                <c:formatCode>General</c:formatCode>
                <c:ptCount val="5"/>
                <c:pt idx="0">
                  <c:v>1.7</c:v>
                </c:pt>
                <c:pt idx="1">
                  <c:v>6</c:v>
                </c:pt>
                <c:pt idx="2">
                  <c:v>2.1</c:v>
                </c:pt>
                <c:pt idx="3">
                  <c:v>4.9</c:v>
                </c:pt>
                <c:pt idx="4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5470227"/>
        <c:axId val="636525662"/>
      </c:lineChart>
      <c:catAx>
        <c:axId val="99337835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71314592"/>
        <c:crosses val="autoZero"/>
        <c:auto val="1"/>
        <c:lblAlgn val="ctr"/>
        <c:lblOffset val="100"/>
        <c:noMultiLvlLbl val="0"/>
      </c:catAx>
      <c:valAx>
        <c:axId val="171314592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3378357"/>
        <c:crosses val="autoZero"/>
        <c:crossBetween val="between"/>
        <c:majorUnit val="10"/>
      </c:valAx>
      <c:catAx>
        <c:axId val="45547022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636525662"/>
        <c:crosses val="autoZero"/>
        <c:auto val="1"/>
        <c:lblAlgn val="ctr"/>
        <c:lblOffset val="100"/>
        <c:noMultiLvlLbl val="0"/>
      </c:catAx>
      <c:valAx>
        <c:axId val="636525662"/>
        <c:scaling>
          <c:orientation val="minMax"/>
          <c:max val="1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547022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70ca59e-9bb0-4830-82ee-d1e8faf2d20a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b="1"/>
              <a:t>图</a:t>
            </a:r>
            <a:r>
              <a:rPr lang="en-US" altLang="zh-CN" b="1"/>
              <a:t>6</a:t>
            </a:r>
            <a:r>
              <a:rPr altLang="en-US" b="1"/>
              <a:t>     </a:t>
            </a:r>
            <a:r>
              <a:rPr lang="en-US" altLang="zh-CN" b="1"/>
              <a:t>2020—2024</a:t>
            </a:r>
            <a:r>
              <a:rPr altLang="en-US" b="1"/>
              <a:t>年社会消费品零售总额增长速度</a:t>
            </a:r>
            <a:endParaRPr altLang="en-US" b="1"/>
          </a:p>
          <a:p>
            <a:pPr>
              <a:defRPr lang="zh-CN"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/>
              <a:t>      </a:t>
            </a:r>
            <a:endParaRPr lang="en-US" altLang="zh-CN" b="1"/>
          </a:p>
        </c:rich>
      </c:tx>
      <c:layout>
        <c:manualLayout>
          <c:xMode val="edge"/>
          <c:yMode val="edge"/>
          <c:x val="0.129971029760337"/>
          <c:y val="0.039959446565721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[24公报图表.xlsx]Sheet1!$K$1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 cmpd="sng">
              <a:solidFill>
                <a:schemeClr val="accent1"/>
              </a:solidFill>
              <a:prstDash val="solid"/>
              <a:round/>
            </a:ln>
            <a:effectLst>
              <a:outerShdw blurRad="50800" dist="38100" dir="2700000" algn="tl" rotWithShape="0">
                <a:schemeClr val="accent1">
                  <a:lumMod val="75000"/>
                  <a:alpha val="40000"/>
                </a:scheme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[24公报图表.xlsx]Sheet1!$K$2:$K$6</c:f>
              <c:numCache>
                <c:formatCode>General</c:formatCode>
                <c:ptCount val="5"/>
                <c:pt idx="0">
                  <c:v>-6.3</c:v>
                </c:pt>
                <c:pt idx="1">
                  <c:v>5</c:v>
                </c:pt>
                <c:pt idx="2">
                  <c:v>-0.6</c:v>
                </c:pt>
                <c:pt idx="3">
                  <c:v>3.6</c:v>
                </c:pt>
                <c:pt idx="4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5377333"/>
        <c:axId val="769046593"/>
      </c:lineChart>
      <c:catAx>
        <c:axId val="22537733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769046593"/>
        <c:crossesAt val="-8"/>
        <c:auto val="1"/>
        <c:lblAlgn val="ctr"/>
        <c:lblOffset val="100"/>
        <c:noMultiLvlLbl val="0"/>
      </c:catAx>
      <c:valAx>
        <c:axId val="76904659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  <a:alpha val="4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537733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f4f6058-a250-4cfb-b001-80b926218725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 anchor="ctr"/>
    <a:lstStyle/>
    <a:p>
      <a:pPr>
        <a:defRPr lang="zh-CN" b="1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1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图</a:t>
            </a:r>
            <a:r>
              <a:rPr lang="en-US" altLang="zh-CN"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7</a:t>
            </a: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     20</a:t>
            </a:r>
            <a:r>
              <a:rPr lang="en-US" altLang="zh-CN"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20</a:t>
            </a: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—20</a:t>
            </a:r>
            <a:r>
              <a:rPr lang="en-US" altLang="zh-CN"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24</a:t>
            </a:r>
            <a:r>
              <a:rPr b="1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rPr>
              <a:t>年公共财政预算收入</a:t>
            </a:r>
            <a:endParaRPr b="1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endParaRPr>
          </a:p>
          <a:p>
            <a:pPr>
              <a:defRPr lang="zh-CN" sz="1400" b="1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endParaRPr b="1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endParaRPr>
          </a:p>
        </c:rich>
      </c:tx>
      <c:layout>
        <c:manualLayout>
          <c:xMode val="edge"/>
          <c:yMode val="edge"/>
          <c:x val="0.198722764838467"/>
          <c:y val="0.021966304116016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[24公报图表.xlsx]Sheet1!$L$1</c:f>
              <c:strCache>
                <c:ptCount val="1"/>
                <c:pt idx="0">
                  <c:v>公共财政预算收入（万元）</c:v>
                </c:pt>
              </c:strCache>
            </c:strRef>
          </c:tx>
          <c:spPr>
            <a:gradFill>
              <a:gsLst>
                <a:gs pos="0">
                  <a:schemeClr val="accent4">
                    <a:lumMod val="40000"/>
                    <a:lumOff val="60000"/>
                  </a:schemeClr>
                </a:gs>
                <a:gs pos="90000">
                  <a:schemeClr val="accent4"/>
                </a:gs>
              </a:gsLst>
              <a:lin ang="5400000" scaled="0"/>
            </a:gradFill>
            <a:ln>
              <a:gradFill>
                <a:gsLst>
                  <a:gs pos="0">
                    <a:schemeClr val="accent4"/>
                  </a:gs>
                  <a:gs pos="100000">
                    <a:schemeClr val="accent4">
                      <a:lumMod val="75000"/>
                    </a:schemeClr>
                  </a:gs>
                </a:gsLst>
                <a:lin ang="5400000" scaled="1"/>
              </a:gradFill>
            </a:ln>
            <a:effectLst>
              <a:outerShdw blurRad="76200" dist="25400" dir="2700000" algn="tl" rotWithShape="0">
                <a:schemeClr val="accent4">
                  <a:lumMod val="50000"/>
                  <a:alpha val="30000"/>
                </a:schemeClr>
              </a:outerShdw>
            </a:effectLst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ysClr val="windowText" lastClr="000000"/>
                    </a:solidFill>
                    <a:latin typeface="微软雅黑" panose="020B0503020204020204" charset="-122"/>
                    <a:ea typeface="微软雅黑" panose="020B0503020204020204" charset="-122"/>
                    <a:cs typeface="微软雅黑" panose="020B0503020204020204" charset="-122"/>
                    <a:sym typeface="微软雅黑" panose="020B0503020204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[24公报图表.xlsx]Sheet1!$L$2:$L$6</c:f>
              <c:numCache>
                <c:formatCode>General</c:formatCode>
                <c:ptCount val="5"/>
                <c:pt idx="0">
                  <c:v>136284</c:v>
                </c:pt>
                <c:pt idx="1">
                  <c:v>47405</c:v>
                </c:pt>
                <c:pt idx="2">
                  <c:v>50479</c:v>
                </c:pt>
                <c:pt idx="3">
                  <c:v>30283</c:v>
                </c:pt>
                <c:pt idx="4">
                  <c:v>37476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6"/>
        <c:overlap val="-28"/>
        <c:axId val="818180930"/>
        <c:axId val="193530683"/>
      </c:barChart>
      <c:catAx>
        <c:axId val="81818093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193530683"/>
        <c:crosses val="autoZero"/>
        <c:auto val="1"/>
        <c:lblAlgn val="ctr"/>
        <c:lblOffset val="100"/>
        <c:noMultiLvlLbl val="0"/>
      </c:catAx>
      <c:valAx>
        <c:axId val="193530683"/>
        <c:scaling>
          <c:orientation val="minMax"/>
          <c:max val="1400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81818093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微软雅黑" panose="020B0503020204020204" charset="-122"/>
              <a:ea typeface="微软雅黑" panose="020B0503020204020204" charset="-122"/>
              <a:cs typeface="微软雅黑" panose="020B0503020204020204" charset="-122"/>
              <a:sym typeface="微软雅黑" panose="020B0503020204020204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3bdca21-c2d6-4488-949b-97e70423030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b="1">
          <a:solidFill>
            <a:sysClr val="windowText" lastClr="000000"/>
          </a:solidFill>
          <a:latin typeface="微软雅黑" panose="020B0503020204020204" charset="-122"/>
          <a:ea typeface="微软雅黑" panose="020B0503020204020204" charset="-122"/>
          <a:cs typeface="微软雅黑" panose="020B0503020204020204" charset="-122"/>
          <a:sym typeface="微软雅黑" panose="020B0503020204020204" charset="-122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b="1"/>
              <a:t>图</a:t>
            </a:r>
            <a:r>
              <a:rPr lang="en-US" altLang="zh-CN" b="1"/>
              <a:t>8</a:t>
            </a:r>
            <a:r>
              <a:rPr altLang="en-US" b="1"/>
              <a:t>     </a:t>
            </a:r>
            <a:r>
              <a:rPr lang="en-US" altLang="zh-CN" b="1"/>
              <a:t>2020—2024</a:t>
            </a:r>
            <a:r>
              <a:rPr altLang="en-US" b="1"/>
              <a:t>年全体居民人均可支配收入及增长速度</a:t>
            </a:r>
            <a:endParaRPr altLang="en-US" b="1"/>
          </a:p>
          <a:p>
            <a:pPr defTabSz="914400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 altLang="zh-CN" b="1"/>
          </a:p>
        </c:rich>
      </c:tx>
      <c:layout>
        <c:manualLayout>
          <c:xMode val="edge"/>
          <c:yMode val="edge"/>
          <c:x val="0.11234125691957"/>
          <c:y val="0.040325784664282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[24公报图表.xlsx]Sheet1!$M$1</c:f>
              <c:strCache>
                <c:ptCount val="1"/>
                <c:pt idx="0">
                  <c:v>全体居民人均可支配收入（元）</c:v>
                </c:pt>
              </c:strCache>
            </c:strRef>
          </c:tx>
          <c:spPr>
            <a:solidFill>
              <a:schemeClr val="accent2">
                <a:alpha val="60000"/>
              </a:schemeClr>
            </a:solidFill>
            <a:ln w="15875">
              <a:solidFill>
                <a:schemeClr val="accent2"/>
              </a:solidFill>
            </a:ln>
            <a:effectLst/>
            <a:sp3d contourW="158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[24公报图表.xlsx]Sheet1!$A$2:$A$6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[24公报图表.xlsx]Sheet1!$M$2:$M$6</c:f>
              <c:numCache>
                <c:formatCode>General</c:formatCode>
                <c:ptCount val="5"/>
                <c:pt idx="0">
                  <c:v>17943</c:v>
                </c:pt>
                <c:pt idx="1">
                  <c:v>19558</c:v>
                </c:pt>
                <c:pt idx="2">
                  <c:v>21162</c:v>
                </c:pt>
                <c:pt idx="3">
                  <c:v>22791</c:v>
                </c:pt>
                <c:pt idx="4">
                  <c:v>24455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30"/>
        <c:axId val="803373262"/>
        <c:axId val="13556499"/>
      </c:barChart>
      <c:lineChart>
        <c:grouping val="standard"/>
        <c:varyColors val="0"/>
        <c:ser>
          <c:idx val="0"/>
          <c:order val="0"/>
          <c:tx>
            <c:strRef>
              <c:f>[24公报图表.xlsx]Sheet1!$N$1</c:f>
              <c:strCache>
                <c:ptCount val="1"/>
                <c:pt idx="0">
                  <c:v>同比增长（%）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>
              <a:outerShdw blurRad="50800" dist="25400" dir="5400000" algn="t" rotWithShape="0">
                <a:schemeClr val="accent1">
                  <a:lumMod val="50000"/>
                  <a:alpha val="40000"/>
                </a:schemeClr>
              </a:outerShdw>
            </a:effectLst>
          </c:spPr>
          <c:marker>
            <c:symbol val="circle"/>
            <c:size val="6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5875">
                <a:solidFill>
                  <a:schemeClr val="bg1"/>
                </a:solidFill>
                <a:round/>
              </a:ln>
              <a:effectLst>
                <a:outerShdw blurRad="50800" dist="25400" dir="5400000" algn="t" rotWithShape="0">
                  <a:schemeClr val="accent1">
                    <a:lumMod val="50000"/>
                    <a:alpha val="40000"/>
                  </a:schemeClr>
                </a:outerShdw>
              </a:effectLst>
            </c:spPr>
          </c:marker>
          <c:dLbls>
            <c:dLbl>
              <c:idx val="0"/>
              <c:layout>
                <c:manualLayout>
                  <c:x val="0.0308138003687121"/>
                  <c:y val="-0.05086732301922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460890176455096"/>
                  <c:y val="0.06633849038912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263365815117198"/>
                  <c:y val="0.074308485700890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350276534105873"/>
                  <c:y val="-0.066338490389123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31682907558599"/>
                  <c:y val="0.03117674636661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[24公报图表.xlsx]Sheet1!$N$2:$N$6</c:f>
              <c:numCache>
                <c:formatCode>General</c:formatCode>
                <c:ptCount val="5"/>
                <c:pt idx="0">
                  <c:v>5.4</c:v>
                </c:pt>
                <c:pt idx="1" c:formatCode="0.0_ ">
                  <c:v>9</c:v>
                </c:pt>
                <c:pt idx="2">
                  <c:v>8.2</c:v>
                </c:pt>
                <c:pt idx="3">
                  <c:v>7.7</c:v>
                </c:pt>
                <c:pt idx="4">
                  <c:v>7.3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4380410"/>
        <c:axId val="537700682"/>
      </c:lineChart>
      <c:catAx>
        <c:axId val="80337326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13556499"/>
        <c:crosses val="autoZero"/>
        <c:auto val="1"/>
        <c:lblAlgn val="ctr"/>
        <c:lblOffset val="100"/>
        <c:noMultiLvlLbl val="0"/>
      </c:catAx>
      <c:valAx>
        <c:axId val="135564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03373262"/>
        <c:crosses val="autoZero"/>
        <c:crossBetween val="between"/>
      </c:valAx>
      <c:catAx>
        <c:axId val="91438041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</a:p>
        </c:txPr>
        <c:crossAx val="537700682"/>
        <c:crosses val="autoZero"/>
        <c:auto val="1"/>
        <c:lblAlgn val="ctr"/>
        <c:lblOffset val="100"/>
        <c:noMultiLvlLbl val="0"/>
      </c:catAx>
      <c:valAx>
        <c:axId val="537700682"/>
        <c:scaling>
          <c:orientation val="minMax"/>
          <c:max val="12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1438041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c4c75fa-e909-45e1-8d04-74f10e3f5d5c}"/>
      </c:ext>
    </c:extLst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b="1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00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1000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gradFill>
        <a:gsLst>
          <a:gs pos="0">
            <a:schemeClr val="phClr">
              <a:lumMod val="40000"/>
              <a:lumOff val="60000"/>
            </a:schemeClr>
          </a:gs>
          <a:gs pos="90000">
            <a:schemeClr val="phClr"/>
          </a:gs>
        </a:gsLst>
        <a:lin ang="5400000" scaled="0"/>
      </a:gradFill>
      <a:ln>
        <a:gradFill>
          <a:gsLst>
            <a:gs pos="0">
              <a:schemeClr val="phClr"/>
            </a:gs>
            <a:gs pos="100000">
              <a:schemeClr val="phClr">
                <a:lumMod val="75000"/>
              </a:schemeClr>
            </a:gs>
          </a:gsLst>
          <a:lin ang="5400000" scaled="1"/>
        </a:gradFill>
      </a:ln>
      <a:effectLst>
        <a:outerShdw blurRad="76200" dist="25400" dir="2700000" algn="tl" rotWithShape="0">
          <a:schemeClr val="phClr">
            <a:lumMod val="50000"/>
            <a:alpha val="30000"/>
          </a:schemeClr>
        </a:outerShdw>
      </a:effectLst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36">
    <a:dk1>
      <a:srgbClr val="000000"/>
    </a:dk1>
    <a:lt1>
      <a:srgbClr val="FFFFFF"/>
    </a:lt1>
    <a:dk2>
      <a:srgbClr val="0C0E1F"/>
    </a:dk2>
    <a:lt2>
      <a:srgbClr val="FEFFFF"/>
    </a:lt2>
    <a:accent1>
      <a:srgbClr val="F2B600"/>
    </a:accent1>
    <a:accent2>
      <a:srgbClr val="96CE1E"/>
    </a:accent2>
    <a:accent3>
      <a:srgbClr val="058CF5"/>
    </a:accent3>
    <a:accent4>
      <a:srgbClr val="1CC6C8"/>
    </a:accent4>
    <a:accent5>
      <a:srgbClr val="566EFE"/>
    </a:accent5>
    <a:accent6>
      <a:srgbClr val="13AF67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自定义 36">
    <a:dk1>
      <a:srgbClr val="000000"/>
    </a:dk1>
    <a:lt1>
      <a:srgbClr val="FFFFFF"/>
    </a:lt1>
    <a:dk2>
      <a:srgbClr val="0C0E1F"/>
    </a:dk2>
    <a:lt2>
      <a:srgbClr val="FEFFFF"/>
    </a:lt2>
    <a:accent1>
      <a:srgbClr val="F2B600"/>
    </a:accent1>
    <a:accent2>
      <a:srgbClr val="96CE1E"/>
    </a:accent2>
    <a:accent3>
      <a:srgbClr val="058CF5"/>
    </a:accent3>
    <a:accent4>
      <a:srgbClr val="1CC6C8"/>
    </a:accent4>
    <a:accent5>
      <a:srgbClr val="566EFE"/>
    </a:accent5>
    <a:accent6>
      <a:srgbClr val="13AF67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自定义 36">
    <a:dk1>
      <a:srgbClr val="000000"/>
    </a:dk1>
    <a:lt1>
      <a:srgbClr val="FFFFFF"/>
    </a:lt1>
    <a:dk2>
      <a:srgbClr val="0C0E1F"/>
    </a:dk2>
    <a:lt2>
      <a:srgbClr val="FEFFFF"/>
    </a:lt2>
    <a:accent1>
      <a:srgbClr val="F2B600"/>
    </a:accent1>
    <a:accent2>
      <a:srgbClr val="96CE1E"/>
    </a:accent2>
    <a:accent3>
      <a:srgbClr val="058CF5"/>
    </a:accent3>
    <a:accent4>
      <a:srgbClr val="1CC6C8"/>
    </a:accent4>
    <a:accent5>
      <a:srgbClr val="566EFE"/>
    </a:accent5>
    <a:accent6>
      <a:srgbClr val="13AF67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自定义 36">
    <a:dk1>
      <a:srgbClr val="000000"/>
    </a:dk1>
    <a:lt1>
      <a:srgbClr val="FFFFFF"/>
    </a:lt1>
    <a:dk2>
      <a:srgbClr val="0C0E1F"/>
    </a:dk2>
    <a:lt2>
      <a:srgbClr val="FEFFFF"/>
    </a:lt2>
    <a:accent1>
      <a:srgbClr val="F2B600"/>
    </a:accent1>
    <a:accent2>
      <a:srgbClr val="96CE1E"/>
    </a:accent2>
    <a:accent3>
      <a:srgbClr val="058CF5"/>
    </a:accent3>
    <a:accent4>
      <a:srgbClr val="1CC6C8"/>
    </a:accent4>
    <a:accent5>
      <a:srgbClr val="566EFE"/>
    </a:accent5>
    <a:accent6>
      <a:srgbClr val="13AF67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自定义 300">
    <a:dk1>
      <a:srgbClr val="000000"/>
    </a:dk1>
    <a:lt1>
      <a:srgbClr val="FFFFFF"/>
    </a:lt1>
    <a:dk2>
      <a:srgbClr val="0C0E1F"/>
    </a:dk2>
    <a:lt2>
      <a:srgbClr val="FEFFFF"/>
    </a:lt2>
    <a:accent1>
      <a:srgbClr val="916BF8"/>
    </a:accent1>
    <a:accent2>
      <a:srgbClr val="4298F6"/>
    </a:accent2>
    <a:accent3>
      <a:srgbClr val="51EAB7"/>
    </a:accent3>
    <a:accent4>
      <a:srgbClr val="EDD772"/>
    </a:accent4>
    <a:accent5>
      <a:srgbClr val="F79AE9"/>
    </a:accent5>
    <a:accent6>
      <a:srgbClr val="97D8F6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自定义 36">
    <a:dk1>
      <a:srgbClr val="000000"/>
    </a:dk1>
    <a:lt1>
      <a:srgbClr val="FFFFFF"/>
    </a:lt1>
    <a:dk2>
      <a:srgbClr val="0C0E1F"/>
    </a:dk2>
    <a:lt2>
      <a:srgbClr val="FEFFFF"/>
    </a:lt2>
    <a:accent1>
      <a:srgbClr val="F2B600"/>
    </a:accent1>
    <a:accent2>
      <a:srgbClr val="96CE1E"/>
    </a:accent2>
    <a:accent3>
      <a:srgbClr val="058CF5"/>
    </a:accent3>
    <a:accent4>
      <a:srgbClr val="1CC6C8"/>
    </a:accent4>
    <a:accent5>
      <a:srgbClr val="566EFE"/>
    </a:accent5>
    <a:accent6>
      <a:srgbClr val="13AF67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4689</Words>
  <Characters>5995</Characters>
  <Lines>0</Lines>
  <Paragraphs>0</Paragraphs>
  <TotalTime>76</TotalTime>
  <ScaleCrop>false</ScaleCrop>
  <LinksUpToDate>false</LinksUpToDate>
  <CharactersWithSpaces>6079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2024-03-28T11:11:00Z</dcterms:created>
  <dc:creator>Aries-spiritfingers</dc:creator>
  <cp:lastModifiedBy>小毛</cp:lastModifiedBy>
  <cp:lastPrinted>2024-04-02T01:37:00Z</cp:lastPrinted>
  <dcterms:modified xsi:type="dcterms:W3CDTF">2025-05-09T06:52:19Z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0DBDD2576D9B47A995A02DAC7100FED9_13</vt:lpwstr>
  </property>
  <property fmtid="{D5CDD505-2E9C-101B-9397-08002B2CF9AE}" pid="4" name="KSOTemplateDocerSaveRecord">
    <vt:lpwstr>eyJoZGlkIjoiYjQ2NWY4OWQyMWM5NGM1Y2RiNGUxZDBlYjYxZmIyNDQiLCJ1c2VySWQiOiIyNTE0MjU5OTkifQ==</vt:lpwstr>
  </property>
</Properties>
</file>